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69453" w14:textId="77777777" w:rsidR="00AD2747" w:rsidRPr="00AD2747" w:rsidRDefault="00AD2747" w:rsidP="006518C4">
      <w:pPr>
        <w:jc w:val="both"/>
        <w:rPr>
          <w:rFonts w:ascii="Verdana" w:hAnsi="Verdana"/>
        </w:rPr>
      </w:pPr>
    </w:p>
    <w:p w14:paraId="41D975CE" w14:textId="545121B0" w:rsidR="00AD2747" w:rsidRDefault="00AD2747" w:rsidP="00AD2747">
      <w:pPr>
        <w:jc w:val="center"/>
        <w:rPr>
          <w:rFonts w:ascii="Verdana" w:hAnsi="Verdana"/>
          <w:b/>
          <w:sz w:val="24"/>
          <w:szCs w:val="24"/>
          <w:u w:val="single"/>
        </w:rPr>
      </w:pPr>
      <w:r w:rsidRPr="00AD2747">
        <w:rPr>
          <w:rFonts w:ascii="Verdana" w:hAnsi="Verdana"/>
          <w:b/>
          <w:sz w:val="24"/>
          <w:szCs w:val="24"/>
          <w:u w:val="single"/>
        </w:rPr>
        <w:t>Extension of Due dates in Compliances for Listed Companies</w:t>
      </w:r>
    </w:p>
    <w:p w14:paraId="47863CC5" w14:textId="77777777" w:rsidR="00AD2747" w:rsidRPr="00AD2747" w:rsidRDefault="00AD2747" w:rsidP="00AD2747">
      <w:pPr>
        <w:jc w:val="center"/>
        <w:rPr>
          <w:rFonts w:ascii="Verdana" w:hAnsi="Verdana"/>
          <w:b/>
          <w:sz w:val="8"/>
          <w:szCs w:val="24"/>
          <w:u w:val="single"/>
        </w:rPr>
      </w:pPr>
    </w:p>
    <w:p w14:paraId="7B424573" w14:textId="33E5191F" w:rsidR="0050551E" w:rsidRDefault="00757B93" w:rsidP="006518C4">
      <w:pPr>
        <w:jc w:val="both"/>
        <w:rPr>
          <w:rFonts w:ascii="Verdana" w:hAnsi="Verdana"/>
        </w:rPr>
      </w:pPr>
      <w:r>
        <w:rPr>
          <w:rFonts w:ascii="Verdana" w:hAnsi="Verdana"/>
        </w:rPr>
        <w:t>The CO</w:t>
      </w:r>
      <w:r w:rsidRPr="00757B93">
        <w:rPr>
          <w:rFonts w:ascii="Verdana" w:hAnsi="Verdana"/>
        </w:rPr>
        <w:t>VID 19 virus has hit populations around the world and has resulted in many restrictions, including free movement of people, thereby hampering businesses and day to day functioning of companies. It has been declared a ‘pandemic’ by the World Health Organization (WHO).</w:t>
      </w:r>
    </w:p>
    <w:p w14:paraId="31E44C1D" w14:textId="53D36912" w:rsidR="0050551E" w:rsidRPr="00902A9B" w:rsidRDefault="0050551E" w:rsidP="006518C4">
      <w:pPr>
        <w:jc w:val="both"/>
        <w:rPr>
          <w:rFonts w:ascii="Verdana" w:hAnsi="Verdana"/>
        </w:rPr>
      </w:pPr>
      <w:r w:rsidRPr="0050551E">
        <w:rPr>
          <w:rFonts w:ascii="Verdana" w:hAnsi="Verdana"/>
        </w:rPr>
        <w:t>In view of the developments arising due to the spread of the COVID-19 pandemic, a need for temporary relaxations in compliance requirements for listed entities</w:t>
      </w:r>
      <w:r w:rsidRPr="00AD2747">
        <w:rPr>
          <w:rFonts w:ascii="Verdana" w:hAnsi="Verdana"/>
        </w:rPr>
        <w:t xml:space="preserve"> </w:t>
      </w:r>
      <w:r w:rsidRPr="0050551E">
        <w:rPr>
          <w:rFonts w:ascii="Verdana" w:hAnsi="Verdana"/>
        </w:rPr>
        <w:t xml:space="preserve">is warranted </w:t>
      </w:r>
      <w:r w:rsidRPr="00902A9B">
        <w:rPr>
          <w:rFonts w:ascii="Verdana" w:hAnsi="Verdana"/>
        </w:rPr>
        <w:t>due to the prevailing travel restrictions and various other logistical challenges.</w:t>
      </w:r>
    </w:p>
    <w:p w14:paraId="0858A148" w14:textId="6650B916" w:rsidR="001C6E3A" w:rsidRPr="00902A9B" w:rsidRDefault="00CA12AB" w:rsidP="006518C4">
      <w:pPr>
        <w:jc w:val="both"/>
        <w:rPr>
          <w:rFonts w:ascii="Verdana" w:hAnsi="Verdana"/>
        </w:rPr>
      </w:pPr>
      <w:r w:rsidRPr="00902A9B">
        <w:rPr>
          <w:rFonts w:ascii="Verdana" w:hAnsi="Verdana"/>
        </w:rPr>
        <w:t>Pursuant to circulars issued by SEBI dated 19.03.2020</w:t>
      </w:r>
      <w:r w:rsidR="00303CF7" w:rsidRPr="00902A9B">
        <w:rPr>
          <w:rFonts w:ascii="Verdana" w:hAnsi="Verdana"/>
        </w:rPr>
        <w:t>, 26</w:t>
      </w:r>
      <w:r w:rsidRPr="00902A9B">
        <w:rPr>
          <w:rFonts w:ascii="Verdana" w:hAnsi="Verdana"/>
        </w:rPr>
        <w:t>.03.2020</w:t>
      </w:r>
      <w:r w:rsidR="00303CF7" w:rsidRPr="00902A9B">
        <w:rPr>
          <w:rFonts w:ascii="Verdana" w:hAnsi="Verdana"/>
        </w:rPr>
        <w:t xml:space="preserve"> and 27.03.2020</w:t>
      </w:r>
      <w:r w:rsidRPr="00902A9B">
        <w:rPr>
          <w:rFonts w:ascii="Verdana" w:hAnsi="Verdana"/>
        </w:rPr>
        <w:t xml:space="preserve"> with respect to </w:t>
      </w:r>
      <w:r w:rsidR="006518C4" w:rsidRPr="00902A9B">
        <w:rPr>
          <w:rFonts w:ascii="Verdana" w:hAnsi="Verdana"/>
        </w:rPr>
        <w:t>r</w:t>
      </w:r>
      <w:r w:rsidRPr="00902A9B">
        <w:rPr>
          <w:rFonts w:ascii="Verdana" w:hAnsi="Verdana"/>
        </w:rPr>
        <w:t>elaxation from compliance with certain provisions of the SEBI (L</w:t>
      </w:r>
      <w:r w:rsidR="006518C4" w:rsidRPr="00902A9B">
        <w:rPr>
          <w:rFonts w:ascii="Verdana" w:hAnsi="Verdana"/>
        </w:rPr>
        <w:t>ODR</w:t>
      </w:r>
      <w:r w:rsidRPr="00902A9B">
        <w:rPr>
          <w:rFonts w:ascii="Verdana" w:hAnsi="Verdana"/>
        </w:rPr>
        <w:t xml:space="preserve">) Regulations, 2015 and </w:t>
      </w:r>
      <w:r w:rsidR="006518C4" w:rsidRPr="00902A9B">
        <w:rPr>
          <w:rFonts w:ascii="Verdana" w:hAnsi="Verdana"/>
        </w:rPr>
        <w:t xml:space="preserve">SEBI (SAST) Regulations, 2011 </w:t>
      </w:r>
      <w:r w:rsidR="00AD2747" w:rsidRPr="00902A9B">
        <w:rPr>
          <w:rFonts w:ascii="Verdana" w:hAnsi="Verdana"/>
        </w:rPr>
        <w:t>due to the CO</w:t>
      </w:r>
      <w:r w:rsidRPr="00902A9B">
        <w:rPr>
          <w:rFonts w:ascii="Verdana" w:hAnsi="Verdana"/>
        </w:rPr>
        <w:t>VID -19 virus pandemic</w:t>
      </w:r>
      <w:r w:rsidR="006518C4" w:rsidRPr="00902A9B">
        <w:rPr>
          <w:rFonts w:ascii="Verdana" w:hAnsi="Verdana"/>
        </w:rPr>
        <w:t>, mentioned below are the list of compliances along with the extended time limits:</w:t>
      </w:r>
    </w:p>
    <w:p w14:paraId="0FDC94AF" w14:textId="3E19F23D" w:rsidR="00E66441" w:rsidRPr="00902A9B" w:rsidRDefault="00E66441" w:rsidP="00E66441">
      <w:pPr>
        <w:pStyle w:val="ListParagraph"/>
        <w:numPr>
          <w:ilvl w:val="0"/>
          <w:numId w:val="2"/>
        </w:numPr>
        <w:ind w:left="720" w:hanging="720"/>
        <w:jc w:val="both"/>
        <w:rPr>
          <w:rFonts w:ascii="Verdana" w:hAnsi="Verdana"/>
          <w:b/>
          <w:bCs/>
          <w:u w:val="single"/>
        </w:rPr>
      </w:pPr>
      <w:r w:rsidRPr="00902A9B">
        <w:rPr>
          <w:rFonts w:ascii="Verdana" w:hAnsi="Verdana"/>
          <w:b/>
          <w:bCs/>
          <w:u w:val="single"/>
        </w:rPr>
        <w:t>Relaxation from compliance with certain provisions of the SEBI (</w:t>
      </w:r>
      <w:r>
        <w:rPr>
          <w:rFonts w:ascii="Verdana" w:hAnsi="Verdana"/>
          <w:b/>
          <w:bCs/>
          <w:u w:val="single"/>
        </w:rPr>
        <w:t>Listing Obligations and Disclosure Requirements</w:t>
      </w:r>
      <w:r w:rsidRPr="00902A9B">
        <w:rPr>
          <w:rFonts w:ascii="Verdana" w:hAnsi="Verdana"/>
          <w:b/>
          <w:bCs/>
          <w:u w:val="single"/>
        </w:rPr>
        <w:t>) Regulations, 201</w:t>
      </w:r>
      <w:r>
        <w:rPr>
          <w:rFonts w:ascii="Verdana" w:hAnsi="Verdana"/>
          <w:b/>
          <w:bCs/>
          <w:u w:val="single"/>
        </w:rPr>
        <w:t>5</w:t>
      </w:r>
    </w:p>
    <w:tbl>
      <w:tblPr>
        <w:tblStyle w:val="TableGrid"/>
        <w:tblW w:w="0" w:type="auto"/>
        <w:tblInd w:w="108" w:type="dxa"/>
        <w:tblLook w:val="04A0" w:firstRow="1" w:lastRow="0" w:firstColumn="1" w:lastColumn="0" w:noHBand="0" w:noVBand="1"/>
      </w:tblPr>
      <w:tblGrid>
        <w:gridCol w:w="736"/>
        <w:gridCol w:w="2885"/>
        <w:gridCol w:w="1739"/>
        <w:gridCol w:w="1911"/>
        <w:gridCol w:w="1971"/>
      </w:tblGrid>
      <w:tr w:rsidR="006518C4" w:rsidRPr="00902A9B" w14:paraId="5D56209B" w14:textId="77777777" w:rsidTr="00533C8B">
        <w:tc>
          <w:tcPr>
            <w:tcW w:w="736" w:type="dxa"/>
          </w:tcPr>
          <w:p w14:paraId="7CC60D77" w14:textId="77777777" w:rsidR="006518C4" w:rsidRPr="00902A9B" w:rsidRDefault="006518C4" w:rsidP="006518C4">
            <w:pPr>
              <w:rPr>
                <w:rFonts w:ascii="Verdana" w:hAnsi="Verdana"/>
                <w:b/>
                <w:bCs/>
              </w:rPr>
            </w:pPr>
            <w:r w:rsidRPr="00902A9B">
              <w:rPr>
                <w:rFonts w:ascii="Verdana" w:hAnsi="Verdana"/>
                <w:b/>
                <w:bCs/>
              </w:rPr>
              <w:t>Sr.</w:t>
            </w:r>
          </w:p>
          <w:p w14:paraId="72F05D02" w14:textId="54FF78B4" w:rsidR="006518C4" w:rsidRPr="00902A9B" w:rsidRDefault="006518C4" w:rsidP="006518C4">
            <w:pPr>
              <w:rPr>
                <w:rFonts w:ascii="Verdana" w:hAnsi="Verdana"/>
                <w:b/>
                <w:bCs/>
              </w:rPr>
            </w:pPr>
            <w:r w:rsidRPr="00902A9B">
              <w:rPr>
                <w:rFonts w:ascii="Verdana" w:hAnsi="Verdana"/>
                <w:b/>
                <w:bCs/>
              </w:rPr>
              <w:t>No.</w:t>
            </w:r>
          </w:p>
        </w:tc>
        <w:tc>
          <w:tcPr>
            <w:tcW w:w="2885" w:type="dxa"/>
          </w:tcPr>
          <w:p w14:paraId="0A2CFB09" w14:textId="05B186C2" w:rsidR="006518C4" w:rsidRPr="00902A9B" w:rsidRDefault="00161DE7" w:rsidP="006518C4">
            <w:pPr>
              <w:rPr>
                <w:rFonts w:ascii="Verdana" w:hAnsi="Verdana"/>
                <w:b/>
                <w:bCs/>
              </w:rPr>
            </w:pPr>
            <w:r w:rsidRPr="00902A9B">
              <w:rPr>
                <w:rFonts w:ascii="Verdana" w:hAnsi="Verdana"/>
                <w:b/>
                <w:bCs/>
              </w:rPr>
              <w:t>SEBI (</w:t>
            </w:r>
            <w:r w:rsidR="006518C4" w:rsidRPr="00902A9B">
              <w:rPr>
                <w:rFonts w:ascii="Verdana" w:hAnsi="Verdana"/>
                <w:b/>
                <w:bCs/>
              </w:rPr>
              <w:t>LODR</w:t>
            </w:r>
            <w:r w:rsidRPr="00902A9B">
              <w:rPr>
                <w:rFonts w:ascii="Verdana" w:hAnsi="Verdana"/>
                <w:b/>
                <w:bCs/>
              </w:rPr>
              <w:t>) Regulation</w:t>
            </w:r>
            <w:r w:rsidR="006518C4" w:rsidRPr="00902A9B">
              <w:rPr>
                <w:rFonts w:ascii="Verdana" w:hAnsi="Verdana"/>
                <w:b/>
                <w:bCs/>
              </w:rPr>
              <w:t xml:space="preserve"> Compliance for the Quarter/Half Year/ Year ended on 31st March, 2020</w:t>
            </w:r>
          </w:p>
        </w:tc>
        <w:tc>
          <w:tcPr>
            <w:tcW w:w="1739" w:type="dxa"/>
          </w:tcPr>
          <w:p w14:paraId="43C4E46B" w14:textId="369A87AB" w:rsidR="006518C4" w:rsidRPr="00902A9B" w:rsidRDefault="006518C4" w:rsidP="006518C4">
            <w:pPr>
              <w:rPr>
                <w:rFonts w:ascii="Verdana" w:hAnsi="Verdana"/>
                <w:b/>
                <w:bCs/>
              </w:rPr>
            </w:pPr>
            <w:r w:rsidRPr="00902A9B">
              <w:rPr>
                <w:rFonts w:ascii="Verdana" w:hAnsi="Verdana"/>
                <w:b/>
                <w:bCs/>
              </w:rPr>
              <w:t>Filing Frequency</w:t>
            </w:r>
          </w:p>
        </w:tc>
        <w:tc>
          <w:tcPr>
            <w:tcW w:w="1911" w:type="dxa"/>
          </w:tcPr>
          <w:p w14:paraId="7AA72B8F" w14:textId="691E202A" w:rsidR="006518C4" w:rsidRPr="00902A9B" w:rsidRDefault="006518C4" w:rsidP="006518C4">
            <w:pPr>
              <w:rPr>
                <w:rFonts w:ascii="Verdana" w:hAnsi="Verdana"/>
                <w:b/>
                <w:bCs/>
              </w:rPr>
            </w:pPr>
            <w:r w:rsidRPr="00902A9B">
              <w:rPr>
                <w:rFonts w:ascii="Verdana" w:hAnsi="Verdana"/>
                <w:b/>
                <w:bCs/>
              </w:rPr>
              <w:t>Due Date</w:t>
            </w:r>
          </w:p>
        </w:tc>
        <w:tc>
          <w:tcPr>
            <w:tcW w:w="1971" w:type="dxa"/>
          </w:tcPr>
          <w:p w14:paraId="7A3EFBFD" w14:textId="71C24ADB" w:rsidR="006518C4" w:rsidRPr="00902A9B" w:rsidRDefault="006518C4" w:rsidP="006518C4">
            <w:pPr>
              <w:rPr>
                <w:rFonts w:ascii="Verdana" w:hAnsi="Verdana"/>
                <w:b/>
                <w:bCs/>
              </w:rPr>
            </w:pPr>
            <w:r w:rsidRPr="00902A9B">
              <w:rPr>
                <w:rFonts w:ascii="Verdana" w:hAnsi="Verdana"/>
                <w:b/>
                <w:bCs/>
              </w:rPr>
              <w:t>Extended due date</w:t>
            </w:r>
          </w:p>
        </w:tc>
      </w:tr>
      <w:tr w:rsidR="006518C4" w:rsidRPr="00902A9B" w14:paraId="3DCB7ADE" w14:textId="77777777" w:rsidTr="00533C8B">
        <w:tc>
          <w:tcPr>
            <w:tcW w:w="736" w:type="dxa"/>
          </w:tcPr>
          <w:p w14:paraId="4C2DB259" w14:textId="50370214" w:rsidR="006518C4" w:rsidRPr="00902A9B" w:rsidRDefault="006518C4" w:rsidP="006518C4">
            <w:pPr>
              <w:jc w:val="both"/>
              <w:rPr>
                <w:rFonts w:ascii="Verdana" w:hAnsi="Verdana"/>
              </w:rPr>
            </w:pPr>
            <w:r w:rsidRPr="00902A9B">
              <w:rPr>
                <w:rFonts w:ascii="Verdana" w:hAnsi="Verdana"/>
              </w:rPr>
              <w:t>1.</w:t>
            </w:r>
          </w:p>
        </w:tc>
        <w:tc>
          <w:tcPr>
            <w:tcW w:w="2885" w:type="dxa"/>
          </w:tcPr>
          <w:p w14:paraId="101FEA95" w14:textId="7901754E" w:rsidR="006518C4" w:rsidRPr="00902A9B" w:rsidRDefault="006518C4" w:rsidP="006518C4">
            <w:pPr>
              <w:jc w:val="both"/>
              <w:rPr>
                <w:rFonts w:ascii="Verdana" w:hAnsi="Verdana"/>
              </w:rPr>
            </w:pPr>
            <w:r w:rsidRPr="00902A9B">
              <w:rPr>
                <w:rFonts w:ascii="Verdana" w:hAnsi="Verdana"/>
              </w:rPr>
              <w:t>Regulation 7(3) relating to compliance certificate on share transfer facility</w:t>
            </w:r>
          </w:p>
        </w:tc>
        <w:tc>
          <w:tcPr>
            <w:tcW w:w="1739" w:type="dxa"/>
          </w:tcPr>
          <w:p w14:paraId="6A76A8CC" w14:textId="55E87C87" w:rsidR="006518C4" w:rsidRPr="00902A9B" w:rsidRDefault="006518C4" w:rsidP="0050551E">
            <w:pPr>
              <w:rPr>
                <w:rFonts w:ascii="Verdana" w:hAnsi="Verdana"/>
              </w:rPr>
            </w:pPr>
            <w:r w:rsidRPr="00902A9B">
              <w:rPr>
                <w:rFonts w:ascii="Verdana" w:hAnsi="Verdana"/>
              </w:rPr>
              <w:t>Half yearly</w:t>
            </w:r>
          </w:p>
        </w:tc>
        <w:tc>
          <w:tcPr>
            <w:tcW w:w="1911" w:type="dxa"/>
          </w:tcPr>
          <w:p w14:paraId="33771F56" w14:textId="72EE4EA5" w:rsidR="006518C4" w:rsidRPr="00902A9B" w:rsidRDefault="006518C4" w:rsidP="006518C4">
            <w:pPr>
              <w:jc w:val="both"/>
              <w:rPr>
                <w:rFonts w:ascii="Verdana" w:hAnsi="Verdana"/>
              </w:rPr>
            </w:pPr>
            <w:r w:rsidRPr="00902A9B">
              <w:rPr>
                <w:rFonts w:ascii="Verdana" w:hAnsi="Verdana"/>
              </w:rPr>
              <w:t>April 30, 2020</w:t>
            </w:r>
          </w:p>
        </w:tc>
        <w:tc>
          <w:tcPr>
            <w:tcW w:w="1971" w:type="dxa"/>
          </w:tcPr>
          <w:p w14:paraId="7BF9EB79" w14:textId="4BF9378B" w:rsidR="006518C4" w:rsidRPr="00902A9B" w:rsidRDefault="006518C4" w:rsidP="006518C4">
            <w:pPr>
              <w:jc w:val="both"/>
              <w:rPr>
                <w:rFonts w:ascii="Verdana" w:hAnsi="Verdana"/>
              </w:rPr>
            </w:pPr>
            <w:r w:rsidRPr="00902A9B">
              <w:rPr>
                <w:rFonts w:ascii="Verdana" w:hAnsi="Verdana"/>
              </w:rPr>
              <w:t>May 31, 2020</w:t>
            </w:r>
          </w:p>
        </w:tc>
      </w:tr>
      <w:tr w:rsidR="006518C4" w:rsidRPr="00902A9B" w14:paraId="7D8D8730" w14:textId="77777777" w:rsidTr="00533C8B">
        <w:tc>
          <w:tcPr>
            <w:tcW w:w="736" w:type="dxa"/>
          </w:tcPr>
          <w:p w14:paraId="42355E81" w14:textId="2085D267" w:rsidR="006518C4" w:rsidRPr="00902A9B" w:rsidRDefault="007743CE" w:rsidP="006518C4">
            <w:pPr>
              <w:jc w:val="both"/>
              <w:rPr>
                <w:rFonts w:ascii="Verdana" w:hAnsi="Verdana"/>
              </w:rPr>
            </w:pPr>
            <w:r w:rsidRPr="00902A9B">
              <w:rPr>
                <w:rFonts w:ascii="Verdana" w:hAnsi="Verdana"/>
              </w:rPr>
              <w:t>2.</w:t>
            </w:r>
          </w:p>
        </w:tc>
        <w:tc>
          <w:tcPr>
            <w:tcW w:w="2885" w:type="dxa"/>
          </w:tcPr>
          <w:p w14:paraId="14775C20" w14:textId="1F35E2C4" w:rsidR="006518C4" w:rsidRPr="00902A9B" w:rsidRDefault="007743CE" w:rsidP="006518C4">
            <w:pPr>
              <w:jc w:val="both"/>
              <w:rPr>
                <w:rFonts w:ascii="Verdana" w:hAnsi="Verdana"/>
              </w:rPr>
            </w:pPr>
            <w:r w:rsidRPr="00902A9B">
              <w:rPr>
                <w:rFonts w:ascii="Verdana" w:hAnsi="Verdana"/>
              </w:rPr>
              <w:t>Regulation 13(3) relating to Statement of Investor complaints</w:t>
            </w:r>
          </w:p>
        </w:tc>
        <w:tc>
          <w:tcPr>
            <w:tcW w:w="1739" w:type="dxa"/>
          </w:tcPr>
          <w:p w14:paraId="7988CF37" w14:textId="240EB7AC" w:rsidR="006518C4" w:rsidRPr="00902A9B" w:rsidRDefault="007743CE" w:rsidP="0050551E">
            <w:pPr>
              <w:rPr>
                <w:rFonts w:ascii="Verdana" w:hAnsi="Verdana"/>
              </w:rPr>
            </w:pPr>
            <w:r w:rsidRPr="00902A9B">
              <w:rPr>
                <w:rFonts w:ascii="Verdana" w:hAnsi="Verdana"/>
              </w:rPr>
              <w:t>Quarterly</w:t>
            </w:r>
          </w:p>
        </w:tc>
        <w:tc>
          <w:tcPr>
            <w:tcW w:w="1911" w:type="dxa"/>
          </w:tcPr>
          <w:p w14:paraId="4215E242" w14:textId="7FF03450" w:rsidR="006518C4" w:rsidRPr="00902A9B" w:rsidRDefault="007743CE" w:rsidP="006518C4">
            <w:pPr>
              <w:jc w:val="both"/>
              <w:rPr>
                <w:rFonts w:ascii="Verdana" w:hAnsi="Verdana"/>
              </w:rPr>
            </w:pPr>
            <w:r w:rsidRPr="00902A9B">
              <w:rPr>
                <w:rFonts w:ascii="Verdana" w:hAnsi="Verdana"/>
              </w:rPr>
              <w:t>April 21, 2020</w:t>
            </w:r>
          </w:p>
        </w:tc>
        <w:tc>
          <w:tcPr>
            <w:tcW w:w="1971" w:type="dxa"/>
          </w:tcPr>
          <w:p w14:paraId="5C95E560" w14:textId="2E800A83" w:rsidR="006518C4" w:rsidRPr="00902A9B" w:rsidRDefault="007743CE" w:rsidP="006518C4">
            <w:pPr>
              <w:jc w:val="both"/>
              <w:rPr>
                <w:rFonts w:ascii="Verdana" w:hAnsi="Verdana"/>
              </w:rPr>
            </w:pPr>
            <w:r w:rsidRPr="00902A9B">
              <w:rPr>
                <w:rFonts w:ascii="Verdana" w:hAnsi="Verdana"/>
              </w:rPr>
              <w:t>May 15, 2020</w:t>
            </w:r>
          </w:p>
        </w:tc>
      </w:tr>
      <w:tr w:rsidR="006518C4" w:rsidRPr="00902A9B" w14:paraId="2DA86805" w14:textId="77777777" w:rsidTr="00533C8B">
        <w:tc>
          <w:tcPr>
            <w:tcW w:w="736" w:type="dxa"/>
          </w:tcPr>
          <w:p w14:paraId="39882B2F" w14:textId="4CB98A82" w:rsidR="006518C4" w:rsidRPr="00902A9B" w:rsidRDefault="007743CE" w:rsidP="006518C4">
            <w:pPr>
              <w:jc w:val="both"/>
              <w:rPr>
                <w:rFonts w:ascii="Verdana" w:hAnsi="Verdana"/>
              </w:rPr>
            </w:pPr>
            <w:r w:rsidRPr="00902A9B">
              <w:rPr>
                <w:rFonts w:ascii="Verdana" w:hAnsi="Verdana"/>
              </w:rPr>
              <w:t>3.</w:t>
            </w:r>
          </w:p>
        </w:tc>
        <w:tc>
          <w:tcPr>
            <w:tcW w:w="2885" w:type="dxa"/>
          </w:tcPr>
          <w:p w14:paraId="37ED6F89" w14:textId="255625B0" w:rsidR="006518C4" w:rsidRPr="00902A9B" w:rsidRDefault="007743CE" w:rsidP="006518C4">
            <w:pPr>
              <w:jc w:val="both"/>
              <w:rPr>
                <w:rFonts w:ascii="Verdana" w:hAnsi="Verdana"/>
              </w:rPr>
            </w:pPr>
            <w:r w:rsidRPr="00902A9B">
              <w:rPr>
                <w:rFonts w:ascii="Verdana" w:hAnsi="Verdana"/>
              </w:rPr>
              <w:t>Regulation 24A read with circular No CIR/CFD/CMD1/27/201 9 dated February 8, 2019 relating to Secretarial Compliance report</w:t>
            </w:r>
          </w:p>
        </w:tc>
        <w:tc>
          <w:tcPr>
            <w:tcW w:w="1739" w:type="dxa"/>
          </w:tcPr>
          <w:p w14:paraId="7759A886" w14:textId="2B064F2D" w:rsidR="006518C4" w:rsidRPr="00902A9B" w:rsidRDefault="007743CE" w:rsidP="0050551E">
            <w:pPr>
              <w:rPr>
                <w:rFonts w:ascii="Verdana" w:hAnsi="Verdana"/>
              </w:rPr>
            </w:pPr>
            <w:r w:rsidRPr="00902A9B">
              <w:rPr>
                <w:rFonts w:ascii="Verdana" w:hAnsi="Verdana"/>
              </w:rPr>
              <w:t>Yearly</w:t>
            </w:r>
          </w:p>
        </w:tc>
        <w:tc>
          <w:tcPr>
            <w:tcW w:w="1911" w:type="dxa"/>
          </w:tcPr>
          <w:p w14:paraId="2ADC9CDC" w14:textId="0678C3D3" w:rsidR="006518C4" w:rsidRPr="00902A9B" w:rsidRDefault="007743CE" w:rsidP="006518C4">
            <w:pPr>
              <w:jc w:val="both"/>
              <w:rPr>
                <w:rFonts w:ascii="Verdana" w:hAnsi="Verdana"/>
              </w:rPr>
            </w:pPr>
            <w:r w:rsidRPr="00902A9B">
              <w:rPr>
                <w:rFonts w:ascii="Verdana" w:hAnsi="Verdana"/>
              </w:rPr>
              <w:t>May 30, 2020</w:t>
            </w:r>
          </w:p>
        </w:tc>
        <w:tc>
          <w:tcPr>
            <w:tcW w:w="1971" w:type="dxa"/>
          </w:tcPr>
          <w:p w14:paraId="6C7A5F56" w14:textId="20D6A5B7" w:rsidR="006518C4" w:rsidRPr="00902A9B" w:rsidRDefault="007743CE" w:rsidP="006518C4">
            <w:pPr>
              <w:jc w:val="both"/>
              <w:rPr>
                <w:rFonts w:ascii="Verdana" w:hAnsi="Verdana"/>
              </w:rPr>
            </w:pPr>
            <w:r w:rsidRPr="00902A9B">
              <w:rPr>
                <w:rFonts w:ascii="Verdana" w:hAnsi="Verdana"/>
              </w:rPr>
              <w:t>June 30, 2020</w:t>
            </w:r>
          </w:p>
        </w:tc>
      </w:tr>
      <w:tr w:rsidR="006518C4" w:rsidRPr="00902A9B" w14:paraId="515E0194" w14:textId="77777777" w:rsidTr="00533C8B">
        <w:tc>
          <w:tcPr>
            <w:tcW w:w="736" w:type="dxa"/>
          </w:tcPr>
          <w:p w14:paraId="30AB525F" w14:textId="5A75ED97" w:rsidR="006518C4" w:rsidRPr="00902A9B" w:rsidRDefault="007743CE" w:rsidP="006518C4">
            <w:pPr>
              <w:jc w:val="both"/>
              <w:rPr>
                <w:rFonts w:ascii="Verdana" w:hAnsi="Verdana"/>
              </w:rPr>
            </w:pPr>
            <w:r w:rsidRPr="00902A9B">
              <w:rPr>
                <w:rFonts w:ascii="Verdana" w:hAnsi="Verdana"/>
              </w:rPr>
              <w:t>4.</w:t>
            </w:r>
          </w:p>
        </w:tc>
        <w:tc>
          <w:tcPr>
            <w:tcW w:w="2885" w:type="dxa"/>
          </w:tcPr>
          <w:p w14:paraId="3783D616" w14:textId="6FBD9C54" w:rsidR="006518C4" w:rsidRPr="00902A9B" w:rsidRDefault="007743CE" w:rsidP="006518C4">
            <w:pPr>
              <w:jc w:val="both"/>
              <w:rPr>
                <w:rFonts w:ascii="Verdana" w:hAnsi="Verdana"/>
              </w:rPr>
            </w:pPr>
            <w:r w:rsidRPr="00902A9B">
              <w:rPr>
                <w:rFonts w:ascii="Verdana" w:hAnsi="Verdana"/>
              </w:rPr>
              <w:t>Regulation 27(2) relating to Corporate Governance report</w:t>
            </w:r>
          </w:p>
        </w:tc>
        <w:tc>
          <w:tcPr>
            <w:tcW w:w="1739" w:type="dxa"/>
          </w:tcPr>
          <w:p w14:paraId="1E24B570" w14:textId="5E135DE3" w:rsidR="006518C4" w:rsidRPr="00902A9B" w:rsidRDefault="007743CE" w:rsidP="0050551E">
            <w:pPr>
              <w:rPr>
                <w:rFonts w:ascii="Verdana" w:hAnsi="Verdana"/>
              </w:rPr>
            </w:pPr>
            <w:r w:rsidRPr="00902A9B">
              <w:rPr>
                <w:rFonts w:ascii="Verdana" w:hAnsi="Verdana"/>
              </w:rPr>
              <w:t>Quarterly</w:t>
            </w:r>
          </w:p>
        </w:tc>
        <w:tc>
          <w:tcPr>
            <w:tcW w:w="1911" w:type="dxa"/>
          </w:tcPr>
          <w:p w14:paraId="57B8E015" w14:textId="106E24FD" w:rsidR="006518C4" w:rsidRPr="00902A9B" w:rsidRDefault="007743CE" w:rsidP="006518C4">
            <w:pPr>
              <w:jc w:val="both"/>
              <w:rPr>
                <w:rFonts w:ascii="Verdana" w:hAnsi="Verdana"/>
              </w:rPr>
            </w:pPr>
            <w:r w:rsidRPr="00902A9B">
              <w:rPr>
                <w:rFonts w:ascii="Verdana" w:hAnsi="Verdana"/>
              </w:rPr>
              <w:t>April 15, 2020</w:t>
            </w:r>
          </w:p>
        </w:tc>
        <w:tc>
          <w:tcPr>
            <w:tcW w:w="1971" w:type="dxa"/>
          </w:tcPr>
          <w:p w14:paraId="6A797A84" w14:textId="7ED8416C" w:rsidR="006518C4" w:rsidRPr="00902A9B" w:rsidRDefault="007743CE" w:rsidP="006518C4">
            <w:pPr>
              <w:jc w:val="both"/>
              <w:rPr>
                <w:rFonts w:ascii="Verdana" w:hAnsi="Verdana"/>
              </w:rPr>
            </w:pPr>
            <w:r w:rsidRPr="00902A9B">
              <w:rPr>
                <w:rFonts w:ascii="Verdana" w:hAnsi="Verdana"/>
              </w:rPr>
              <w:t>May 15, 2020</w:t>
            </w:r>
          </w:p>
        </w:tc>
      </w:tr>
      <w:tr w:rsidR="006518C4" w:rsidRPr="00902A9B" w14:paraId="78D9D2B8" w14:textId="77777777" w:rsidTr="00533C8B">
        <w:tc>
          <w:tcPr>
            <w:tcW w:w="736" w:type="dxa"/>
          </w:tcPr>
          <w:p w14:paraId="1E6F6CA0" w14:textId="0A17A3D1" w:rsidR="006518C4" w:rsidRPr="00902A9B" w:rsidRDefault="007743CE" w:rsidP="006518C4">
            <w:pPr>
              <w:jc w:val="both"/>
              <w:rPr>
                <w:rFonts w:ascii="Verdana" w:hAnsi="Verdana"/>
              </w:rPr>
            </w:pPr>
            <w:r w:rsidRPr="00902A9B">
              <w:rPr>
                <w:rFonts w:ascii="Verdana" w:hAnsi="Verdana"/>
              </w:rPr>
              <w:t>5.</w:t>
            </w:r>
          </w:p>
        </w:tc>
        <w:tc>
          <w:tcPr>
            <w:tcW w:w="2885" w:type="dxa"/>
          </w:tcPr>
          <w:p w14:paraId="33A6F225" w14:textId="09DCC6AD" w:rsidR="006518C4" w:rsidRPr="00902A9B" w:rsidRDefault="007743CE" w:rsidP="006518C4">
            <w:pPr>
              <w:jc w:val="both"/>
              <w:rPr>
                <w:rFonts w:ascii="Verdana" w:hAnsi="Verdana"/>
              </w:rPr>
            </w:pPr>
            <w:r w:rsidRPr="00902A9B">
              <w:rPr>
                <w:rFonts w:ascii="Verdana" w:hAnsi="Verdana"/>
              </w:rPr>
              <w:t>Regulation 31 relating to Shareholding Pattern</w:t>
            </w:r>
          </w:p>
        </w:tc>
        <w:tc>
          <w:tcPr>
            <w:tcW w:w="1739" w:type="dxa"/>
          </w:tcPr>
          <w:p w14:paraId="28CEB5F4" w14:textId="490413E3" w:rsidR="006518C4" w:rsidRPr="00902A9B" w:rsidRDefault="007743CE" w:rsidP="0050551E">
            <w:pPr>
              <w:rPr>
                <w:rFonts w:ascii="Verdana" w:hAnsi="Verdana"/>
              </w:rPr>
            </w:pPr>
            <w:r w:rsidRPr="00902A9B">
              <w:rPr>
                <w:rFonts w:ascii="Verdana" w:hAnsi="Verdana"/>
              </w:rPr>
              <w:t>Quarterly</w:t>
            </w:r>
          </w:p>
        </w:tc>
        <w:tc>
          <w:tcPr>
            <w:tcW w:w="1911" w:type="dxa"/>
          </w:tcPr>
          <w:p w14:paraId="26A43BE0" w14:textId="51CDCC95" w:rsidR="006518C4" w:rsidRPr="00902A9B" w:rsidRDefault="007743CE" w:rsidP="006518C4">
            <w:pPr>
              <w:jc w:val="both"/>
              <w:rPr>
                <w:rFonts w:ascii="Verdana" w:hAnsi="Verdana"/>
              </w:rPr>
            </w:pPr>
            <w:r w:rsidRPr="00902A9B">
              <w:rPr>
                <w:rFonts w:ascii="Verdana" w:hAnsi="Verdana"/>
              </w:rPr>
              <w:t>April 21, 2020</w:t>
            </w:r>
          </w:p>
        </w:tc>
        <w:tc>
          <w:tcPr>
            <w:tcW w:w="1971" w:type="dxa"/>
          </w:tcPr>
          <w:p w14:paraId="0599D054" w14:textId="3488B0C9" w:rsidR="006518C4" w:rsidRPr="00902A9B" w:rsidRDefault="007743CE" w:rsidP="006518C4">
            <w:pPr>
              <w:jc w:val="both"/>
              <w:rPr>
                <w:rFonts w:ascii="Verdana" w:hAnsi="Verdana"/>
              </w:rPr>
            </w:pPr>
            <w:r w:rsidRPr="00902A9B">
              <w:rPr>
                <w:rFonts w:ascii="Verdana" w:hAnsi="Verdana"/>
              </w:rPr>
              <w:t>May 15, 2020</w:t>
            </w:r>
          </w:p>
        </w:tc>
      </w:tr>
      <w:tr w:rsidR="006518C4" w:rsidRPr="00902A9B" w14:paraId="7852436E" w14:textId="77777777" w:rsidTr="00533C8B">
        <w:tc>
          <w:tcPr>
            <w:tcW w:w="736" w:type="dxa"/>
          </w:tcPr>
          <w:p w14:paraId="5775E37D" w14:textId="7F55A91D" w:rsidR="006518C4" w:rsidRPr="00902A9B" w:rsidRDefault="007743CE" w:rsidP="006518C4">
            <w:pPr>
              <w:jc w:val="both"/>
              <w:rPr>
                <w:rFonts w:ascii="Verdana" w:hAnsi="Verdana"/>
              </w:rPr>
            </w:pPr>
            <w:r w:rsidRPr="00902A9B">
              <w:rPr>
                <w:rFonts w:ascii="Verdana" w:hAnsi="Verdana"/>
              </w:rPr>
              <w:t>6.</w:t>
            </w:r>
          </w:p>
        </w:tc>
        <w:tc>
          <w:tcPr>
            <w:tcW w:w="2885" w:type="dxa"/>
          </w:tcPr>
          <w:p w14:paraId="60A51BFC" w14:textId="1445B593" w:rsidR="006518C4" w:rsidRPr="00902A9B" w:rsidRDefault="007743CE" w:rsidP="006518C4">
            <w:pPr>
              <w:jc w:val="both"/>
              <w:rPr>
                <w:rFonts w:ascii="Verdana" w:hAnsi="Verdana"/>
              </w:rPr>
            </w:pPr>
            <w:r w:rsidRPr="00902A9B">
              <w:rPr>
                <w:rFonts w:ascii="Verdana" w:hAnsi="Verdana"/>
              </w:rPr>
              <w:t xml:space="preserve">Regulation 33 relating </w:t>
            </w:r>
            <w:r w:rsidRPr="00902A9B">
              <w:rPr>
                <w:rFonts w:ascii="Verdana" w:hAnsi="Verdana"/>
              </w:rPr>
              <w:lastRenderedPageBreak/>
              <w:t xml:space="preserve">to Financial Results </w:t>
            </w:r>
          </w:p>
        </w:tc>
        <w:tc>
          <w:tcPr>
            <w:tcW w:w="1739" w:type="dxa"/>
          </w:tcPr>
          <w:p w14:paraId="7DC28425" w14:textId="5635A58A" w:rsidR="006518C4" w:rsidRPr="00902A9B" w:rsidRDefault="007743CE" w:rsidP="0050551E">
            <w:pPr>
              <w:rPr>
                <w:rFonts w:ascii="Verdana" w:hAnsi="Verdana"/>
              </w:rPr>
            </w:pPr>
            <w:r w:rsidRPr="00902A9B">
              <w:rPr>
                <w:rFonts w:ascii="Verdana" w:hAnsi="Verdana"/>
              </w:rPr>
              <w:lastRenderedPageBreak/>
              <w:t>Quarterly</w:t>
            </w:r>
          </w:p>
        </w:tc>
        <w:tc>
          <w:tcPr>
            <w:tcW w:w="1911" w:type="dxa"/>
          </w:tcPr>
          <w:p w14:paraId="392F69C4" w14:textId="43127AFC" w:rsidR="006518C4" w:rsidRPr="00902A9B" w:rsidRDefault="007743CE" w:rsidP="006518C4">
            <w:pPr>
              <w:jc w:val="both"/>
              <w:rPr>
                <w:rFonts w:ascii="Verdana" w:hAnsi="Verdana"/>
              </w:rPr>
            </w:pPr>
            <w:r w:rsidRPr="00902A9B">
              <w:rPr>
                <w:rFonts w:ascii="Verdana" w:hAnsi="Verdana"/>
              </w:rPr>
              <w:t>May 15, 2020</w:t>
            </w:r>
          </w:p>
        </w:tc>
        <w:tc>
          <w:tcPr>
            <w:tcW w:w="1971" w:type="dxa"/>
          </w:tcPr>
          <w:p w14:paraId="6AF94829" w14:textId="14E44EB9" w:rsidR="006518C4" w:rsidRPr="00902A9B" w:rsidRDefault="007743CE" w:rsidP="006518C4">
            <w:pPr>
              <w:jc w:val="both"/>
              <w:rPr>
                <w:rFonts w:ascii="Verdana" w:hAnsi="Verdana"/>
              </w:rPr>
            </w:pPr>
            <w:r w:rsidRPr="00902A9B">
              <w:rPr>
                <w:rFonts w:ascii="Verdana" w:hAnsi="Verdana"/>
              </w:rPr>
              <w:t>June 30, 2020</w:t>
            </w:r>
          </w:p>
        </w:tc>
      </w:tr>
      <w:tr w:rsidR="006518C4" w:rsidRPr="00902A9B" w14:paraId="0730102A" w14:textId="77777777" w:rsidTr="00533C8B">
        <w:tc>
          <w:tcPr>
            <w:tcW w:w="736" w:type="dxa"/>
          </w:tcPr>
          <w:p w14:paraId="06F1BA97" w14:textId="26BD3067" w:rsidR="006518C4" w:rsidRPr="00902A9B" w:rsidRDefault="007743CE" w:rsidP="006518C4">
            <w:pPr>
              <w:jc w:val="both"/>
              <w:rPr>
                <w:rFonts w:ascii="Verdana" w:hAnsi="Verdana"/>
              </w:rPr>
            </w:pPr>
            <w:r w:rsidRPr="00902A9B">
              <w:rPr>
                <w:rFonts w:ascii="Verdana" w:hAnsi="Verdana"/>
              </w:rPr>
              <w:lastRenderedPageBreak/>
              <w:t>7.</w:t>
            </w:r>
          </w:p>
        </w:tc>
        <w:tc>
          <w:tcPr>
            <w:tcW w:w="2885" w:type="dxa"/>
          </w:tcPr>
          <w:p w14:paraId="028FEE6D" w14:textId="3C32879D" w:rsidR="006518C4" w:rsidRPr="00902A9B" w:rsidRDefault="007743CE" w:rsidP="006518C4">
            <w:pPr>
              <w:jc w:val="both"/>
              <w:rPr>
                <w:rFonts w:ascii="Verdana" w:hAnsi="Verdana"/>
              </w:rPr>
            </w:pPr>
            <w:r w:rsidRPr="00902A9B">
              <w:rPr>
                <w:rFonts w:ascii="Verdana" w:hAnsi="Verdana"/>
              </w:rPr>
              <w:t>Regulation 33 relating to Financial Results</w:t>
            </w:r>
          </w:p>
        </w:tc>
        <w:tc>
          <w:tcPr>
            <w:tcW w:w="1739" w:type="dxa"/>
          </w:tcPr>
          <w:p w14:paraId="0673E16F" w14:textId="471A6F39" w:rsidR="006518C4" w:rsidRPr="00902A9B" w:rsidRDefault="007743CE" w:rsidP="0050551E">
            <w:pPr>
              <w:rPr>
                <w:rFonts w:ascii="Verdana" w:hAnsi="Verdana"/>
              </w:rPr>
            </w:pPr>
            <w:r w:rsidRPr="00902A9B">
              <w:rPr>
                <w:rFonts w:ascii="Verdana" w:hAnsi="Verdana"/>
              </w:rPr>
              <w:t>Annual</w:t>
            </w:r>
          </w:p>
        </w:tc>
        <w:tc>
          <w:tcPr>
            <w:tcW w:w="1911" w:type="dxa"/>
          </w:tcPr>
          <w:p w14:paraId="66BA8E95" w14:textId="00C60BA2" w:rsidR="006518C4" w:rsidRPr="00902A9B" w:rsidRDefault="007743CE" w:rsidP="006518C4">
            <w:pPr>
              <w:jc w:val="both"/>
              <w:rPr>
                <w:rFonts w:ascii="Verdana" w:hAnsi="Verdana"/>
              </w:rPr>
            </w:pPr>
            <w:r w:rsidRPr="00902A9B">
              <w:rPr>
                <w:rFonts w:ascii="Verdana" w:hAnsi="Verdana"/>
              </w:rPr>
              <w:t>May 30, 2020</w:t>
            </w:r>
          </w:p>
        </w:tc>
        <w:tc>
          <w:tcPr>
            <w:tcW w:w="1971" w:type="dxa"/>
          </w:tcPr>
          <w:p w14:paraId="1DFCD2CF" w14:textId="2ECDE7B8" w:rsidR="006518C4" w:rsidRPr="00902A9B" w:rsidRDefault="007743CE" w:rsidP="006518C4">
            <w:pPr>
              <w:jc w:val="both"/>
              <w:rPr>
                <w:rFonts w:ascii="Verdana" w:hAnsi="Verdana"/>
              </w:rPr>
            </w:pPr>
            <w:r w:rsidRPr="00902A9B">
              <w:rPr>
                <w:rFonts w:ascii="Verdana" w:hAnsi="Verdana"/>
              </w:rPr>
              <w:t>June 30, 2020</w:t>
            </w:r>
          </w:p>
        </w:tc>
      </w:tr>
      <w:tr w:rsidR="00B90663" w:rsidRPr="00902A9B" w14:paraId="1CDFE5AB" w14:textId="77777777" w:rsidTr="00533C8B">
        <w:tc>
          <w:tcPr>
            <w:tcW w:w="736" w:type="dxa"/>
          </w:tcPr>
          <w:p w14:paraId="7DF8C0B1" w14:textId="7FA4808E" w:rsidR="00B90663" w:rsidRPr="00902A9B" w:rsidRDefault="00B90663" w:rsidP="006518C4">
            <w:pPr>
              <w:jc w:val="both"/>
              <w:rPr>
                <w:rFonts w:ascii="Verdana" w:hAnsi="Verdana"/>
              </w:rPr>
            </w:pPr>
            <w:r w:rsidRPr="00902A9B">
              <w:rPr>
                <w:rFonts w:ascii="Verdana" w:hAnsi="Verdana"/>
              </w:rPr>
              <w:t>8.</w:t>
            </w:r>
          </w:p>
        </w:tc>
        <w:tc>
          <w:tcPr>
            <w:tcW w:w="2885" w:type="dxa"/>
          </w:tcPr>
          <w:p w14:paraId="4B054946" w14:textId="25D0644E" w:rsidR="00B90663" w:rsidRPr="00902A9B" w:rsidRDefault="00B90663" w:rsidP="006518C4">
            <w:pPr>
              <w:jc w:val="both"/>
              <w:rPr>
                <w:rFonts w:ascii="Verdana" w:hAnsi="Verdana"/>
              </w:rPr>
            </w:pPr>
            <w:r w:rsidRPr="00902A9B">
              <w:rPr>
                <w:rFonts w:ascii="Verdana" w:hAnsi="Verdana"/>
              </w:rPr>
              <w:t>Regulation 40(9) relating to Certificate from Practicing Company Secretary on timely issue of share certificates</w:t>
            </w:r>
          </w:p>
        </w:tc>
        <w:tc>
          <w:tcPr>
            <w:tcW w:w="1739" w:type="dxa"/>
          </w:tcPr>
          <w:p w14:paraId="24D8EFC1" w14:textId="098F189A" w:rsidR="00B90663" w:rsidRPr="00902A9B" w:rsidRDefault="00B90663" w:rsidP="0050551E">
            <w:pPr>
              <w:rPr>
                <w:rFonts w:ascii="Verdana" w:hAnsi="Verdana"/>
              </w:rPr>
            </w:pPr>
            <w:r w:rsidRPr="00902A9B">
              <w:rPr>
                <w:rFonts w:ascii="Verdana" w:hAnsi="Verdana"/>
              </w:rPr>
              <w:t>Half Yearly</w:t>
            </w:r>
          </w:p>
        </w:tc>
        <w:tc>
          <w:tcPr>
            <w:tcW w:w="1911" w:type="dxa"/>
          </w:tcPr>
          <w:p w14:paraId="3172731D" w14:textId="35D9D7F8" w:rsidR="00B90663" w:rsidRPr="00902A9B" w:rsidRDefault="00B90663" w:rsidP="006518C4">
            <w:pPr>
              <w:jc w:val="both"/>
              <w:rPr>
                <w:rFonts w:ascii="Verdana" w:hAnsi="Verdana"/>
              </w:rPr>
            </w:pPr>
            <w:r w:rsidRPr="00902A9B">
              <w:rPr>
                <w:rFonts w:ascii="Verdana" w:hAnsi="Verdana"/>
              </w:rPr>
              <w:t>April 30, 2020</w:t>
            </w:r>
          </w:p>
        </w:tc>
        <w:tc>
          <w:tcPr>
            <w:tcW w:w="1971" w:type="dxa"/>
          </w:tcPr>
          <w:p w14:paraId="0EB6FBA0" w14:textId="2548FBCD" w:rsidR="00B90663" w:rsidRPr="00902A9B" w:rsidRDefault="00B90663" w:rsidP="006518C4">
            <w:pPr>
              <w:jc w:val="both"/>
              <w:rPr>
                <w:rFonts w:ascii="Verdana" w:hAnsi="Verdana"/>
              </w:rPr>
            </w:pPr>
            <w:r w:rsidRPr="00902A9B">
              <w:rPr>
                <w:rFonts w:ascii="Verdana" w:hAnsi="Verdana"/>
              </w:rPr>
              <w:t>May 31, 2020</w:t>
            </w:r>
          </w:p>
        </w:tc>
      </w:tr>
      <w:tr w:rsidR="00E979C7" w:rsidRPr="00902A9B" w14:paraId="65BF8DC5" w14:textId="77777777" w:rsidTr="00533C8B">
        <w:tc>
          <w:tcPr>
            <w:tcW w:w="736" w:type="dxa"/>
          </w:tcPr>
          <w:p w14:paraId="68FED4CC" w14:textId="59A778F3" w:rsidR="00E979C7" w:rsidRPr="00902A9B" w:rsidRDefault="00E979C7" w:rsidP="006518C4">
            <w:pPr>
              <w:jc w:val="both"/>
              <w:rPr>
                <w:rFonts w:ascii="Verdana" w:hAnsi="Verdana"/>
              </w:rPr>
            </w:pPr>
            <w:r w:rsidRPr="00902A9B">
              <w:rPr>
                <w:rFonts w:ascii="Verdana" w:hAnsi="Verdana"/>
              </w:rPr>
              <w:t>9.</w:t>
            </w:r>
          </w:p>
        </w:tc>
        <w:tc>
          <w:tcPr>
            <w:tcW w:w="2885" w:type="dxa"/>
          </w:tcPr>
          <w:p w14:paraId="133676FF" w14:textId="24962552" w:rsidR="00E979C7" w:rsidRPr="00902A9B" w:rsidRDefault="00E979C7" w:rsidP="006518C4">
            <w:pPr>
              <w:jc w:val="both"/>
              <w:rPr>
                <w:rFonts w:ascii="Verdana" w:hAnsi="Verdana"/>
              </w:rPr>
            </w:pPr>
            <w:r w:rsidRPr="00902A9B">
              <w:rPr>
                <w:rFonts w:ascii="Verdana" w:hAnsi="Verdana"/>
              </w:rPr>
              <w:t>Regulation 44(5) relating to holding of AGM by top 100 listed entities by market capitalization for FY 19-20</w:t>
            </w:r>
          </w:p>
        </w:tc>
        <w:tc>
          <w:tcPr>
            <w:tcW w:w="1739" w:type="dxa"/>
          </w:tcPr>
          <w:p w14:paraId="2B7FC2CB" w14:textId="518D9E10" w:rsidR="00E979C7" w:rsidRPr="00902A9B" w:rsidRDefault="00E979C7" w:rsidP="0050551E">
            <w:pPr>
              <w:rPr>
                <w:rFonts w:ascii="Verdana" w:hAnsi="Verdana"/>
              </w:rPr>
            </w:pPr>
            <w:r w:rsidRPr="00902A9B">
              <w:rPr>
                <w:rFonts w:ascii="Verdana" w:hAnsi="Verdana"/>
              </w:rPr>
              <w:t>Annual</w:t>
            </w:r>
          </w:p>
        </w:tc>
        <w:tc>
          <w:tcPr>
            <w:tcW w:w="1911" w:type="dxa"/>
          </w:tcPr>
          <w:p w14:paraId="5F60BB63" w14:textId="51BF40CA" w:rsidR="00E979C7" w:rsidRPr="00902A9B" w:rsidRDefault="00E979C7" w:rsidP="006518C4">
            <w:pPr>
              <w:jc w:val="both"/>
              <w:rPr>
                <w:rFonts w:ascii="Verdana" w:hAnsi="Verdana"/>
              </w:rPr>
            </w:pPr>
            <w:r w:rsidRPr="00902A9B">
              <w:rPr>
                <w:rFonts w:ascii="Verdana" w:hAnsi="Verdana"/>
              </w:rPr>
              <w:t>August 31, 2020</w:t>
            </w:r>
          </w:p>
        </w:tc>
        <w:tc>
          <w:tcPr>
            <w:tcW w:w="1971" w:type="dxa"/>
          </w:tcPr>
          <w:p w14:paraId="1D01B669" w14:textId="142DCE36" w:rsidR="00E979C7" w:rsidRPr="00902A9B" w:rsidRDefault="00E979C7" w:rsidP="006518C4">
            <w:pPr>
              <w:jc w:val="both"/>
              <w:rPr>
                <w:rFonts w:ascii="Verdana" w:hAnsi="Verdana"/>
              </w:rPr>
            </w:pPr>
            <w:r w:rsidRPr="00902A9B">
              <w:rPr>
                <w:rFonts w:ascii="Verdana" w:hAnsi="Verdana"/>
              </w:rPr>
              <w:t>September 30, 2020</w:t>
            </w:r>
          </w:p>
        </w:tc>
      </w:tr>
      <w:tr w:rsidR="00161DE7" w:rsidRPr="00902A9B" w14:paraId="27301239" w14:textId="77777777" w:rsidTr="00533C8B">
        <w:tc>
          <w:tcPr>
            <w:tcW w:w="736" w:type="dxa"/>
          </w:tcPr>
          <w:p w14:paraId="56F51E3D" w14:textId="14F13BE1" w:rsidR="00161DE7" w:rsidRPr="00902A9B" w:rsidRDefault="00161DE7" w:rsidP="006518C4">
            <w:pPr>
              <w:jc w:val="both"/>
              <w:rPr>
                <w:rFonts w:ascii="Verdana" w:hAnsi="Verdana"/>
              </w:rPr>
            </w:pPr>
            <w:r w:rsidRPr="00902A9B">
              <w:rPr>
                <w:rFonts w:ascii="Verdana" w:hAnsi="Verdana"/>
              </w:rPr>
              <w:t>10.</w:t>
            </w:r>
          </w:p>
        </w:tc>
        <w:tc>
          <w:tcPr>
            <w:tcW w:w="2885" w:type="dxa"/>
          </w:tcPr>
          <w:p w14:paraId="1495F802" w14:textId="546841BE" w:rsidR="00161DE7" w:rsidRPr="00902A9B" w:rsidRDefault="00161DE7" w:rsidP="00161DE7">
            <w:pPr>
              <w:jc w:val="both"/>
              <w:rPr>
                <w:rFonts w:ascii="Verdana" w:hAnsi="Verdana"/>
              </w:rPr>
            </w:pPr>
            <w:r w:rsidRPr="00902A9B">
              <w:rPr>
                <w:rFonts w:ascii="Verdana" w:hAnsi="Verdana"/>
              </w:rPr>
              <w:t>Regulation 47 relating to publication of advertisement in newspapers.</w:t>
            </w:r>
          </w:p>
        </w:tc>
        <w:tc>
          <w:tcPr>
            <w:tcW w:w="5621" w:type="dxa"/>
            <w:gridSpan w:val="3"/>
          </w:tcPr>
          <w:p w14:paraId="33D255BD" w14:textId="655F6D4F" w:rsidR="00161DE7" w:rsidRPr="00902A9B" w:rsidRDefault="00161DE7" w:rsidP="00161DE7">
            <w:pPr>
              <w:jc w:val="both"/>
              <w:rPr>
                <w:rFonts w:ascii="Verdana" w:hAnsi="Verdana"/>
              </w:rPr>
            </w:pPr>
            <w:r w:rsidRPr="00902A9B">
              <w:rPr>
                <w:rFonts w:ascii="Verdana" w:hAnsi="Verdana"/>
              </w:rPr>
              <w:t>It has been brought to the notice of SEBI that some</w:t>
            </w:r>
            <w:r w:rsidR="00A46E1C" w:rsidRPr="00902A9B">
              <w:rPr>
                <w:rFonts w:ascii="Verdana" w:hAnsi="Verdana"/>
              </w:rPr>
              <w:t xml:space="preserve"> </w:t>
            </w:r>
            <w:r w:rsidRPr="00902A9B">
              <w:rPr>
                <w:rFonts w:ascii="Verdana" w:hAnsi="Verdana"/>
              </w:rPr>
              <w:t xml:space="preserve">newspapers are not bringing their print versions for a limited period; some newspapers that are still printing are not accepting a 'e-copy ' of the </w:t>
            </w:r>
            <w:r w:rsidR="00A46E1C" w:rsidRPr="00902A9B">
              <w:rPr>
                <w:rFonts w:ascii="Verdana" w:hAnsi="Verdana"/>
              </w:rPr>
              <w:t xml:space="preserve"> </w:t>
            </w:r>
            <w:r w:rsidRPr="00902A9B">
              <w:rPr>
                <w:rFonts w:ascii="Verdana" w:hAnsi="Verdana"/>
              </w:rPr>
              <w:t>information to be published which acts as a challenge in ensuring compliance with this regulation. Hence it has been decided to exempt publication of advertisements in newspapers as required under regulation 47 for all events scheduled till May 15, 2020.</w:t>
            </w:r>
          </w:p>
        </w:tc>
      </w:tr>
    </w:tbl>
    <w:p w14:paraId="6CD21E14" w14:textId="257B0592" w:rsidR="006518C4" w:rsidRPr="00902A9B" w:rsidRDefault="006518C4" w:rsidP="006518C4">
      <w:pPr>
        <w:jc w:val="both"/>
        <w:rPr>
          <w:rFonts w:ascii="Verdana" w:hAnsi="Verdana"/>
        </w:rPr>
      </w:pPr>
    </w:p>
    <w:p w14:paraId="388BB6A3" w14:textId="2DEC521F" w:rsidR="00A46E1C" w:rsidRPr="00902A9B" w:rsidRDefault="00A46E1C" w:rsidP="00533C8B">
      <w:pPr>
        <w:pStyle w:val="ListParagraph"/>
        <w:numPr>
          <w:ilvl w:val="0"/>
          <w:numId w:val="2"/>
        </w:numPr>
        <w:ind w:left="720" w:hanging="720"/>
        <w:jc w:val="both"/>
        <w:rPr>
          <w:rFonts w:ascii="Verdana" w:hAnsi="Verdana"/>
          <w:b/>
          <w:bCs/>
          <w:u w:val="single"/>
        </w:rPr>
      </w:pPr>
      <w:r w:rsidRPr="00902A9B">
        <w:rPr>
          <w:rFonts w:ascii="Verdana" w:hAnsi="Verdana"/>
          <w:b/>
          <w:bCs/>
          <w:u w:val="single"/>
        </w:rPr>
        <w:t>Relaxation from compliance with certain provisions of the SEBI (Substantial Acquisition of Shares and Takeovers) Regulations, 2011</w:t>
      </w:r>
    </w:p>
    <w:tbl>
      <w:tblPr>
        <w:tblStyle w:val="TableGrid"/>
        <w:tblW w:w="0" w:type="auto"/>
        <w:tblInd w:w="108" w:type="dxa"/>
        <w:tblLook w:val="04A0" w:firstRow="1" w:lastRow="0" w:firstColumn="1" w:lastColumn="0" w:noHBand="0" w:noVBand="1"/>
      </w:tblPr>
      <w:tblGrid>
        <w:gridCol w:w="720"/>
        <w:gridCol w:w="3667"/>
        <w:gridCol w:w="1501"/>
        <w:gridCol w:w="1710"/>
        <w:gridCol w:w="1705"/>
      </w:tblGrid>
      <w:tr w:rsidR="00161DE7" w:rsidRPr="00902A9B" w14:paraId="1FBFCF70" w14:textId="699643A1" w:rsidTr="00533C8B">
        <w:tc>
          <w:tcPr>
            <w:tcW w:w="720" w:type="dxa"/>
          </w:tcPr>
          <w:p w14:paraId="7821D060" w14:textId="77777777" w:rsidR="00161DE7" w:rsidRPr="00902A9B" w:rsidRDefault="00161DE7" w:rsidP="00161DE7">
            <w:pPr>
              <w:rPr>
                <w:rFonts w:ascii="Verdana" w:hAnsi="Verdana"/>
                <w:b/>
                <w:bCs/>
              </w:rPr>
            </w:pPr>
            <w:r w:rsidRPr="00902A9B">
              <w:rPr>
                <w:rFonts w:ascii="Verdana" w:hAnsi="Verdana"/>
                <w:b/>
                <w:bCs/>
              </w:rPr>
              <w:t>Sr.</w:t>
            </w:r>
          </w:p>
          <w:p w14:paraId="4A7D2FB3" w14:textId="4443EF08" w:rsidR="00161DE7" w:rsidRPr="00902A9B" w:rsidRDefault="00161DE7" w:rsidP="00161DE7">
            <w:pPr>
              <w:jc w:val="both"/>
              <w:rPr>
                <w:rFonts w:ascii="Verdana" w:hAnsi="Verdana"/>
              </w:rPr>
            </w:pPr>
            <w:r w:rsidRPr="00902A9B">
              <w:rPr>
                <w:rFonts w:ascii="Verdana" w:hAnsi="Verdana"/>
                <w:b/>
                <w:bCs/>
              </w:rPr>
              <w:t>No.</w:t>
            </w:r>
          </w:p>
        </w:tc>
        <w:tc>
          <w:tcPr>
            <w:tcW w:w="3667" w:type="dxa"/>
          </w:tcPr>
          <w:p w14:paraId="3F9BCD5B" w14:textId="53950655" w:rsidR="00161DE7" w:rsidRPr="00902A9B" w:rsidRDefault="00161DE7" w:rsidP="00161DE7">
            <w:pPr>
              <w:jc w:val="both"/>
              <w:rPr>
                <w:rFonts w:ascii="Verdana" w:hAnsi="Verdana"/>
              </w:rPr>
            </w:pPr>
            <w:r w:rsidRPr="00902A9B">
              <w:rPr>
                <w:rFonts w:ascii="Verdana" w:hAnsi="Verdana"/>
                <w:b/>
                <w:bCs/>
              </w:rPr>
              <w:t>SEBI (SAST) Regulation Compliance for Year ended on 31st March, 2020</w:t>
            </w:r>
          </w:p>
        </w:tc>
        <w:tc>
          <w:tcPr>
            <w:tcW w:w="1501" w:type="dxa"/>
          </w:tcPr>
          <w:p w14:paraId="5721E20A" w14:textId="16B8B55B" w:rsidR="00161DE7" w:rsidRPr="00902A9B" w:rsidRDefault="00161DE7" w:rsidP="00161DE7">
            <w:pPr>
              <w:jc w:val="both"/>
              <w:rPr>
                <w:rFonts w:ascii="Verdana" w:hAnsi="Verdana"/>
              </w:rPr>
            </w:pPr>
            <w:r w:rsidRPr="00902A9B">
              <w:rPr>
                <w:rFonts w:ascii="Verdana" w:hAnsi="Verdana"/>
                <w:b/>
                <w:bCs/>
              </w:rPr>
              <w:t>Filing Frequency</w:t>
            </w:r>
          </w:p>
        </w:tc>
        <w:tc>
          <w:tcPr>
            <w:tcW w:w="1710" w:type="dxa"/>
          </w:tcPr>
          <w:p w14:paraId="49E98C7F" w14:textId="471219EF" w:rsidR="00161DE7" w:rsidRPr="00902A9B" w:rsidRDefault="00161DE7" w:rsidP="00161DE7">
            <w:pPr>
              <w:jc w:val="both"/>
              <w:rPr>
                <w:rFonts w:ascii="Verdana" w:hAnsi="Verdana"/>
              </w:rPr>
            </w:pPr>
            <w:r w:rsidRPr="00902A9B">
              <w:rPr>
                <w:rFonts w:ascii="Verdana" w:hAnsi="Verdana"/>
                <w:b/>
                <w:bCs/>
              </w:rPr>
              <w:t>Due Date</w:t>
            </w:r>
          </w:p>
        </w:tc>
        <w:tc>
          <w:tcPr>
            <w:tcW w:w="1705" w:type="dxa"/>
          </w:tcPr>
          <w:p w14:paraId="44AD5FDD" w14:textId="1C79B04E" w:rsidR="00161DE7" w:rsidRPr="00902A9B" w:rsidRDefault="00161DE7" w:rsidP="00161DE7">
            <w:pPr>
              <w:jc w:val="both"/>
              <w:rPr>
                <w:rFonts w:ascii="Verdana" w:hAnsi="Verdana"/>
              </w:rPr>
            </w:pPr>
            <w:r w:rsidRPr="00902A9B">
              <w:rPr>
                <w:rFonts w:ascii="Verdana" w:hAnsi="Verdana"/>
                <w:b/>
                <w:bCs/>
              </w:rPr>
              <w:t>Extended due date</w:t>
            </w:r>
          </w:p>
        </w:tc>
      </w:tr>
      <w:tr w:rsidR="00161DE7" w:rsidRPr="00902A9B" w14:paraId="106152A7" w14:textId="4A437C19" w:rsidTr="00533C8B">
        <w:tc>
          <w:tcPr>
            <w:tcW w:w="720" w:type="dxa"/>
          </w:tcPr>
          <w:p w14:paraId="1C85B35D" w14:textId="630BC3A6" w:rsidR="00161DE7" w:rsidRPr="00902A9B" w:rsidRDefault="00161DE7" w:rsidP="00161DE7">
            <w:pPr>
              <w:pStyle w:val="ListParagraph"/>
              <w:numPr>
                <w:ilvl w:val="0"/>
                <w:numId w:val="1"/>
              </w:numPr>
              <w:jc w:val="both"/>
              <w:rPr>
                <w:rFonts w:ascii="Verdana" w:hAnsi="Verdana"/>
              </w:rPr>
            </w:pPr>
          </w:p>
        </w:tc>
        <w:tc>
          <w:tcPr>
            <w:tcW w:w="3667" w:type="dxa"/>
          </w:tcPr>
          <w:p w14:paraId="248C2CD9" w14:textId="77777777" w:rsidR="00161DE7" w:rsidRPr="00902A9B" w:rsidRDefault="00161DE7" w:rsidP="00161DE7">
            <w:pPr>
              <w:jc w:val="both"/>
              <w:rPr>
                <w:rFonts w:ascii="Verdana" w:hAnsi="Verdana"/>
              </w:rPr>
            </w:pPr>
            <w:r w:rsidRPr="00902A9B">
              <w:rPr>
                <w:rFonts w:ascii="Verdana" w:hAnsi="Verdana"/>
              </w:rPr>
              <w:t>Regulation 30(1), 30(2) &amp; 31(4) of</w:t>
            </w:r>
          </w:p>
          <w:p w14:paraId="503EA8B0" w14:textId="3F407293" w:rsidR="00161DE7" w:rsidRPr="00902A9B" w:rsidRDefault="00161DE7" w:rsidP="00161DE7">
            <w:pPr>
              <w:jc w:val="both"/>
              <w:rPr>
                <w:rFonts w:ascii="Verdana" w:hAnsi="Verdana"/>
                <w:b/>
                <w:bCs/>
              </w:rPr>
            </w:pPr>
            <w:r w:rsidRPr="00902A9B">
              <w:rPr>
                <w:rFonts w:ascii="Verdana" w:hAnsi="Verdana"/>
              </w:rPr>
              <w:t>SEBI (SAST) Regulations, 2011 relating to disclosure of c</w:t>
            </w:r>
            <w:r w:rsidR="00D35B2E">
              <w:rPr>
                <w:rFonts w:ascii="Verdana" w:hAnsi="Verdana"/>
              </w:rPr>
              <w:t xml:space="preserve">onsolidated shareholding as on </w:t>
            </w:r>
            <w:proofErr w:type="gramStart"/>
            <w:r w:rsidRPr="00902A9B">
              <w:rPr>
                <w:rFonts w:ascii="Verdana" w:hAnsi="Verdana"/>
              </w:rPr>
              <w:t>31st  March</w:t>
            </w:r>
            <w:proofErr w:type="gramEnd"/>
            <w:r w:rsidRPr="00902A9B">
              <w:rPr>
                <w:rFonts w:ascii="Verdana" w:hAnsi="Verdana"/>
              </w:rPr>
              <w:t>, 2020.</w:t>
            </w:r>
          </w:p>
        </w:tc>
        <w:tc>
          <w:tcPr>
            <w:tcW w:w="1501" w:type="dxa"/>
          </w:tcPr>
          <w:p w14:paraId="0EDA40BB" w14:textId="288FEF0D" w:rsidR="00161DE7" w:rsidRPr="00902A9B" w:rsidRDefault="00161DE7" w:rsidP="006518C4">
            <w:pPr>
              <w:jc w:val="both"/>
              <w:rPr>
                <w:rFonts w:ascii="Verdana" w:hAnsi="Verdana"/>
              </w:rPr>
            </w:pPr>
            <w:r w:rsidRPr="00902A9B">
              <w:rPr>
                <w:rFonts w:ascii="Verdana" w:hAnsi="Verdana"/>
              </w:rPr>
              <w:t>Annual</w:t>
            </w:r>
          </w:p>
        </w:tc>
        <w:tc>
          <w:tcPr>
            <w:tcW w:w="1710" w:type="dxa"/>
          </w:tcPr>
          <w:p w14:paraId="65F202C6" w14:textId="35431533" w:rsidR="00161DE7" w:rsidRPr="00902A9B" w:rsidRDefault="00C44AC1" w:rsidP="006518C4">
            <w:pPr>
              <w:jc w:val="both"/>
              <w:rPr>
                <w:rFonts w:ascii="Verdana" w:hAnsi="Verdana"/>
              </w:rPr>
            </w:pPr>
            <w:r w:rsidRPr="00902A9B">
              <w:rPr>
                <w:rFonts w:ascii="Verdana" w:hAnsi="Verdana"/>
              </w:rPr>
              <w:t>April 15, 2020</w:t>
            </w:r>
          </w:p>
        </w:tc>
        <w:tc>
          <w:tcPr>
            <w:tcW w:w="1705" w:type="dxa"/>
          </w:tcPr>
          <w:p w14:paraId="19FCAA9E" w14:textId="5A315B48" w:rsidR="00161DE7" w:rsidRPr="00902A9B" w:rsidRDefault="00C44AC1" w:rsidP="006518C4">
            <w:pPr>
              <w:jc w:val="both"/>
              <w:rPr>
                <w:rFonts w:ascii="Verdana" w:hAnsi="Verdana"/>
              </w:rPr>
            </w:pPr>
            <w:r w:rsidRPr="00902A9B">
              <w:rPr>
                <w:rFonts w:ascii="Verdana" w:hAnsi="Verdana"/>
              </w:rPr>
              <w:t>June 1, 2020</w:t>
            </w:r>
          </w:p>
        </w:tc>
      </w:tr>
    </w:tbl>
    <w:p w14:paraId="7B917D30" w14:textId="474E6BBD" w:rsidR="00161DE7" w:rsidRPr="00902A9B" w:rsidRDefault="00161DE7" w:rsidP="006518C4">
      <w:pPr>
        <w:jc w:val="both"/>
        <w:rPr>
          <w:rFonts w:ascii="Verdana" w:hAnsi="Verdana"/>
        </w:rPr>
      </w:pPr>
    </w:p>
    <w:p w14:paraId="26881564" w14:textId="09A24C70" w:rsidR="00C44AC1" w:rsidRPr="00902A9B" w:rsidRDefault="00C44AC1" w:rsidP="00533C8B">
      <w:pPr>
        <w:pStyle w:val="ListParagraph"/>
        <w:numPr>
          <w:ilvl w:val="0"/>
          <w:numId w:val="2"/>
        </w:numPr>
        <w:ind w:left="720" w:hanging="720"/>
        <w:jc w:val="both"/>
        <w:rPr>
          <w:rFonts w:ascii="Verdana" w:hAnsi="Verdana"/>
          <w:b/>
          <w:bCs/>
          <w:u w:val="single"/>
        </w:rPr>
      </w:pPr>
      <w:r w:rsidRPr="00902A9B">
        <w:rPr>
          <w:rFonts w:ascii="Verdana" w:hAnsi="Verdana"/>
          <w:b/>
          <w:bCs/>
          <w:u w:val="single"/>
        </w:rPr>
        <w:t xml:space="preserve">Conduct of </w:t>
      </w:r>
      <w:r w:rsidR="00A46E1C" w:rsidRPr="00902A9B">
        <w:rPr>
          <w:rFonts w:ascii="Verdana" w:hAnsi="Verdana"/>
          <w:b/>
          <w:bCs/>
          <w:u w:val="single"/>
        </w:rPr>
        <w:t xml:space="preserve">Board Meetings, </w:t>
      </w:r>
      <w:r w:rsidRPr="00902A9B">
        <w:rPr>
          <w:rFonts w:ascii="Verdana" w:hAnsi="Verdana"/>
          <w:b/>
          <w:bCs/>
          <w:u w:val="single"/>
        </w:rPr>
        <w:t xml:space="preserve">Committee meetings – </w:t>
      </w:r>
      <w:r w:rsidR="00A46E1C" w:rsidRPr="00902A9B">
        <w:rPr>
          <w:rFonts w:ascii="Verdana" w:hAnsi="Verdana"/>
          <w:b/>
          <w:bCs/>
          <w:u w:val="single"/>
        </w:rPr>
        <w:t xml:space="preserve">Audit Committee, </w:t>
      </w:r>
      <w:r w:rsidRPr="00902A9B">
        <w:rPr>
          <w:rFonts w:ascii="Verdana" w:hAnsi="Verdana"/>
          <w:b/>
          <w:bCs/>
          <w:u w:val="single"/>
        </w:rPr>
        <w:t>Nomination and Remuneration Committee, Stakeholders Relationship Committee and Risk Management Committee</w:t>
      </w:r>
    </w:p>
    <w:p w14:paraId="542B2750" w14:textId="1690056D" w:rsidR="00C44AC1" w:rsidRPr="00902A9B" w:rsidRDefault="00C44AC1" w:rsidP="000F4443">
      <w:pPr>
        <w:pStyle w:val="ListParagraph"/>
        <w:ind w:left="0" w:hanging="450"/>
        <w:jc w:val="both"/>
        <w:rPr>
          <w:rFonts w:ascii="Verdana" w:hAnsi="Verdana"/>
        </w:rPr>
      </w:pPr>
    </w:p>
    <w:tbl>
      <w:tblPr>
        <w:tblStyle w:val="TableGrid"/>
        <w:tblW w:w="0" w:type="auto"/>
        <w:tblInd w:w="108" w:type="dxa"/>
        <w:tblLook w:val="04A0" w:firstRow="1" w:lastRow="0" w:firstColumn="1" w:lastColumn="0" w:noHBand="0" w:noVBand="1"/>
      </w:tblPr>
      <w:tblGrid>
        <w:gridCol w:w="720"/>
        <w:gridCol w:w="2641"/>
        <w:gridCol w:w="1812"/>
        <w:gridCol w:w="1501"/>
        <w:gridCol w:w="1307"/>
        <w:gridCol w:w="1448"/>
      </w:tblGrid>
      <w:tr w:rsidR="00F06E7E" w:rsidRPr="00902A9B" w14:paraId="6A98D56D" w14:textId="77777777" w:rsidTr="00D12472">
        <w:tc>
          <w:tcPr>
            <w:tcW w:w="720" w:type="dxa"/>
            <w:tcBorders>
              <w:bottom w:val="single" w:sz="4" w:space="0" w:color="auto"/>
            </w:tcBorders>
          </w:tcPr>
          <w:p w14:paraId="10D67DBA" w14:textId="5FB8B4A4" w:rsidR="00F06E7E" w:rsidRPr="00902A9B" w:rsidRDefault="00F06E7E" w:rsidP="00C44AC1">
            <w:pPr>
              <w:pStyle w:val="ListParagraph"/>
              <w:ind w:left="0"/>
              <w:jc w:val="both"/>
              <w:rPr>
                <w:rFonts w:ascii="Verdana" w:hAnsi="Verdana"/>
                <w:b/>
                <w:bCs/>
              </w:rPr>
            </w:pPr>
            <w:r w:rsidRPr="00902A9B">
              <w:rPr>
                <w:rFonts w:ascii="Verdana" w:hAnsi="Verdana"/>
                <w:b/>
                <w:bCs/>
              </w:rPr>
              <w:t>S. No.</w:t>
            </w:r>
          </w:p>
        </w:tc>
        <w:tc>
          <w:tcPr>
            <w:tcW w:w="2641" w:type="dxa"/>
            <w:tcBorders>
              <w:bottom w:val="single" w:sz="4" w:space="0" w:color="auto"/>
            </w:tcBorders>
          </w:tcPr>
          <w:p w14:paraId="0FA214A0" w14:textId="5102AF0A" w:rsidR="00F06E7E" w:rsidRPr="00902A9B" w:rsidRDefault="00F06E7E" w:rsidP="00C44AC1">
            <w:pPr>
              <w:pStyle w:val="ListParagraph"/>
              <w:ind w:left="0"/>
              <w:jc w:val="both"/>
              <w:rPr>
                <w:rFonts w:ascii="Verdana" w:hAnsi="Verdana"/>
                <w:b/>
                <w:bCs/>
              </w:rPr>
            </w:pPr>
            <w:r w:rsidRPr="00902A9B">
              <w:rPr>
                <w:rFonts w:ascii="Verdana" w:hAnsi="Verdana"/>
                <w:b/>
                <w:bCs/>
              </w:rPr>
              <w:t>Regulation</w:t>
            </w:r>
          </w:p>
        </w:tc>
        <w:tc>
          <w:tcPr>
            <w:tcW w:w="1812" w:type="dxa"/>
            <w:tcBorders>
              <w:bottom w:val="single" w:sz="4" w:space="0" w:color="auto"/>
            </w:tcBorders>
          </w:tcPr>
          <w:p w14:paraId="57FDFF9C" w14:textId="6504F332" w:rsidR="00F06E7E" w:rsidRPr="00902A9B" w:rsidRDefault="00F06E7E" w:rsidP="00C44AC1">
            <w:pPr>
              <w:pStyle w:val="ListParagraph"/>
              <w:ind w:left="0"/>
              <w:jc w:val="both"/>
              <w:rPr>
                <w:rFonts w:ascii="Verdana" w:hAnsi="Verdana"/>
                <w:b/>
                <w:bCs/>
              </w:rPr>
            </w:pPr>
            <w:r w:rsidRPr="00902A9B">
              <w:rPr>
                <w:rFonts w:ascii="Verdana" w:hAnsi="Verdana"/>
                <w:b/>
                <w:bCs/>
              </w:rPr>
              <w:t>Requirement</w:t>
            </w:r>
          </w:p>
        </w:tc>
        <w:tc>
          <w:tcPr>
            <w:tcW w:w="4256" w:type="dxa"/>
            <w:gridSpan w:val="3"/>
            <w:tcBorders>
              <w:bottom w:val="single" w:sz="4" w:space="0" w:color="auto"/>
            </w:tcBorders>
          </w:tcPr>
          <w:p w14:paraId="358FD987" w14:textId="5F9F7CE3" w:rsidR="00F06E7E" w:rsidRPr="00902A9B" w:rsidRDefault="00F06E7E" w:rsidP="00C44AC1">
            <w:pPr>
              <w:pStyle w:val="ListParagraph"/>
              <w:ind w:left="0"/>
              <w:jc w:val="both"/>
              <w:rPr>
                <w:rFonts w:ascii="Verdana" w:hAnsi="Verdana"/>
                <w:b/>
                <w:bCs/>
              </w:rPr>
            </w:pPr>
            <w:r>
              <w:rPr>
                <w:rFonts w:ascii="Verdana" w:hAnsi="Verdana"/>
                <w:b/>
                <w:bCs/>
              </w:rPr>
              <w:t>Relaxation</w:t>
            </w:r>
          </w:p>
        </w:tc>
      </w:tr>
      <w:tr w:rsidR="00902A9B" w:rsidRPr="00902A9B" w14:paraId="68B05582" w14:textId="77777777" w:rsidTr="00533C8B">
        <w:tc>
          <w:tcPr>
            <w:tcW w:w="720" w:type="dxa"/>
          </w:tcPr>
          <w:p w14:paraId="0D335313" w14:textId="2F696DF7" w:rsidR="00902A9B" w:rsidRPr="00902A9B" w:rsidRDefault="00902A9B" w:rsidP="00C44AC1">
            <w:pPr>
              <w:pStyle w:val="ListParagraph"/>
              <w:ind w:left="0"/>
              <w:jc w:val="both"/>
              <w:rPr>
                <w:rFonts w:ascii="Verdana" w:hAnsi="Verdana"/>
                <w:b/>
                <w:bCs/>
              </w:rPr>
            </w:pPr>
            <w:r w:rsidRPr="00902A9B">
              <w:rPr>
                <w:rFonts w:ascii="Verdana" w:hAnsi="Verdana"/>
              </w:rPr>
              <w:t>1.</w:t>
            </w:r>
          </w:p>
        </w:tc>
        <w:tc>
          <w:tcPr>
            <w:tcW w:w="2641" w:type="dxa"/>
          </w:tcPr>
          <w:p w14:paraId="0506C60A" w14:textId="001A2139" w:rsidR="00902A9B" w:rsidRPr="00902A9B" w:rsidRDefault="00902A9B" w:rsidP="00902A9B">
            <w:pPr>
              <w:pStyle w:val="ListParagraph"/>
              <w:ind w:left="0"/>
              <w:jc w:val="both"/>
              <w:rPr>
                <w:rFonts w:ascii="Verdana" w:hAnsi="Verdana"/>
                <w:b/>
                <w:bCs/>
              </w:rPr>
            </w:pPr>
            <w:r w:rsidRPr="00902A9B">
              <w:rPr>
                <w:rFonts w:ascii="Verdana" w:hAnsi="Verdana"/>
              </w:rPr>
              <w:t>Regulation 17(2)</w:t>
            </w:r>
          </w:p>
        </w:tc>
        <w:tc>
          <w:tcPr>
            <w:tcW w:w="1812" w:type="dxa"/>
          </w:tcPr>
          <w:p w14:paraId="6FE821B5" w14:textId="2BB52CD5" w:rsidR="00902A9B" w:rsidRPr="00902A9B" w:rsidRDefault="00902A9B" w:rsidP="00C44AC1">
            <w:pPr>
              <w:pStyle w:val="ListParagraph"/>
              <w:ind w:left="0"/>
              <w:jc w:val="both"/>
              <w:rPr>
                <w:rFonts w:ascii="Verdana" w:hAnsi="Verdana"/>
                <w:b/>
                <w:bCs/>
              </w:rPr>
            </w:pPr>
            <w:r w:rsidRPr="00902A9B">
              <w:rPr>
                <w:rFonts w:ascii="Verdana" w:hAnsi="Verdana"/>
              </w:rPr>
              <w:t xml:space="preserve">The board of directors shall meet at least </w:t>
            </w:r>
            <w:r w:rsidRPr="00902A9B">
              <w:rPr>
                <w:rFonts w:ascii="Verdana" w:hAnsi="Verdana"/>
              </w:rPr>
              <w:lastRenderedPageBreak/>
              <w:t>four times a year, with a maximum time gap of one hundred and twenty days between any two meetings.</w:t>
            </w:r>
          </w:p>
        </w:tc>
        <w:tc>
          <w:tcPr>
            <w:tcW w:w="4256" w:type="dxa"/>
            <w:gridSpan w:val="3"/>
            <w:vMerge w:val="restart"/>
          </w:tcPr>
          <w:p w14:paraId="1C4CDB31" w14:textId="77777777" w:rsidR="00902A9B" w:rsidRPr="00902A9B" w:rsidRDefault="00902A9B" w:rsidP="00902A9B">
            <w:pPr>
              <w:pStyle w:val="ListParagraph"/>
              <w:ind w:left="0"/>
              <w:jc w:val="both"/>
              <w:rPr>
                <w:rFonts w:ascii="Verdana" w:hAnsi="Verdana"/>
              </w:rPr>
            </w:pPr>
            <w:r w:rsidRPr="00902A9B">
              <w:rPr>
                <w:rFonts w:ascii="Verdana" w:hAnsi="Verdana"/>
              </w:rPr>
              <w:lastRenderedPageBreak/>
              <w:t xml:space="preserve">The board of directors and Audit Committee of the listed entity are exempted from observing the </w:t>
            </w:r>
            <w:r w:rsidRPr="00902A9B">
              <w:rPr>
                <w:rFonts w:ascii="Verdana" w:hAnsi="Verdana"/>
              </w:rPr>
              <w:lastRenderedPageBreak/>
              <w:t xml:space="preserve">maximum stipulated time gap between two meetings for the meetings held or proposed to be held between the period December 1, 2019 and June 30, 2020.  </w:t>
            </w:r>
          </w:p>
          <w:p w14:paraId="6637339A" w14:textId="77777777" w:rsidR="00902A9B" w:rsidRPr="00902A9B" w:rsidRDefault="00902A9B" w:rsidP="00902A9B">
            <w:pPr>
              <w:pStyle w:val="ListParagraph"/>
              <w:ind w:left="0"/>
              <w:jc w:val="both"/>
              <w:rPr>
                <w:rFonts w:ascii="Verdana" w:hAnsi="Verdana"/>
              </w:rPr>
            </w:pPr>
          </w:p>
          <w:p w14:paraId="140A42C6" w14:textId="4B81AC7C" w:rsidR="00902A9B" w:rsidRPr="00902A9B" w:rsidRDefault="00902A9B" w:rsidP="00902A9B">
            <w:pPr>
              <w:pStyle w:val="ListParagraph"/>
              <w:ind w:left="0"/>
              <w:jc w:val="both"/>
              <w:rPr>
                <w:rFonts w:ascii="Verdana" w:hAnsi="Verdana"/>
                <w:b/>
                <w:bCs/>
              </w:rPr>
            </w:pPr>
            <w:r w:rsidRPr="00902A9B">
              <w:rPr>
                <w:rFonts w:ascii="Verdana" w:hAnsi="Verdana"/>
              </w:rPr>
              <w:t xml:space="preserve">However the board of directors / Audit Committee shall ensure that they meet </w:t>
            </w:r>
            <w:proofErr w:type="spellStart"/>
            <w:r w:rsidRPr="00902A9B">
              <w:rPr>
                <w:rFonts w:ascii="Verdana" w:hAnsi="Verdana"/>
              </w:rPr>
              <w:t>atleast</w:t>
            </w:r>
            <w:proofErr w:type="spellEnd"/>
            <w:r w:rsidRPr="00902A9B">
              <w:rPr>
                <w:rFonts w:ascii="Verdana" w:hAnsi="Verdana"/>
              </w:rPr>
              <w:t xml:space="preserve"> four times a year, as stipulated under regulations 17(2) and 18(2)(a) of the LODR</w:t>
            </w:r>
          </w:p>
        </w:tc>
      </w:tr>
      <w:tr w:rsidR="00902A9B" w:rsidRPr="00902A9B" w14:paraId="54CF6BAA" w14:textId="77777777" w:rsidTr="00F06E7E">
        <w:tc>
          <w:tcPr>
            <w:tcW w:w="720" w:type="dxa"/>
            <w:tcBorders>
              <w:bottom w:val="single" w:sz="4" w:space="0" w:color="auto"/>
            </w:tcBorders>
          </w:tcPr>
          <w:p w14:paraId="7E99E5A0" w14:textId="7AAC74FE" w:rsidR="00902A9B" w:rsidRPr="00902A9B" w:rsidRDefault="00902A9B" w:rsidP="00C44AC1">
            <w:pPr>
              <w:pStyle w:val="ListParagraph"/>
              <w:ind w:left="0"/>
              <w:jc w:val="both"/>
              <w:rPr>
                <w:rFonts w:ascii="Verdana" w:hAnsi="Verdana"/>
                <w:b/>
                <w:bCs/>
              </w:rPr>
            </w:pPr>
            <w:r w:rsidRPr="00902A9B">
              <w:rPr>
                <w:rFonts w:ascii="Verdana" w:hAnsi="Verdana"/>
              </w:rPr>
              <w:lastRenderedPageBreak/>
              <w:t>2.</w:t>
            </w:r>
          </w:p>
        </w:tc>
        <w:tc>
          <w:tcPr>
            <w:tcW w:w="2641" w:type="dxa"/>
            <w:tcBorders>
              <w:bottom w:val="single" w:sz="4" w:space="0" w:color="auto"/>
            </w:tcBorders>
          </w:tcPr>
          <w:p w14:paraId="710B3930" w14:textId="2B6D6E00" w:rsidR="00902A9B" w:rsidRPr="00902A9B" w:rsidRDefault="00902A9B" w:rsidP="00902A9B">
            <w:pPr>
              <w:pStyle w:val="ListParagraph"/>
              <w:ind w:left="0"/>
              <w:jc w:val="both"/>
              <w:rPr>
                <w:rFonts w:ascii="Verdana" w:hAnsi="Verdana"/>
                <w:b/>
                <w:bCs/>
              </w:rPr>
            </w:pPr>
            <w:r w:rsidRPr="00902A9B">
              <w:rPr>
                <w:rFonts w:ascii="Verdana" w:hAnsi="Verdana"/>
              </w:rPr>
              <w:t>Regulation 18(2)(a)</w:t>
            </w:r>
          </w:p>
        </w:tc>
        <w:tc>
          <w:tcPr>
            <w:tcW w:w="1812" w:type="dxa"/>
            <w:tcBorders>
              <w:bottom w:val="single" w:sz="4" w:space="0" w:color="auto"/>
            </w:tcBorders>
          </w:tcPr>
          <w:p w14:paraId="569DCF43" w14:textId="58BC0CE4" w:rsidR="00902A9B" w:rsidRPr="00902A9B" w:rsidRDefault="00902A9B" w:rsidP="00C44AC1">
            <w:pPr>
              <w:pStyle w:val="ListParagraph"/>
              <w:ind w:left="0"/>
              <w:jc w:val="both"/>
              <w:rPr>
                <w:rFonts w:ascii="Verdana" w:hAnsi="Verdana"/>
                <w:b/>
                <w:bCs/>
              </w:rPr>
            </w:pPr>
            <w:r w:rsidRPr="00902A9B">
              <w:rPr>
                <w:rFonts w:ascii="Verdana" w:hAnsi="Verdana"/>
              </w:rPr>
              <w:t>The audit committee shall meet at least four times in a year and not more than one hundred and twenty days shall elapse between two meetings</w:t>
            </w:r>
          </w:p>
        </w:tc>
        <w:tc>
          <w:tcPr>
            <w:tcW w:w="4256" w:type="dxa"/>
            <w:gridSpan w:val="3"/>
            <w:vMerge/>
            <w:tcBorders>
              <w:bottom w:val="single" w:sz="4" w:space="0" w:color="auto"/>
            </w:tcBorders>
          </w:tcPr>
          <w:p w14:paraId="15E3876F" w14:textId="77777777" w:rsidR="00902A9B" w:rsidRPr="00902A9B" w:rsidRDefault="00902A9B" w:rsidP="00C44AC1">
            <w:pPr>
              <w:pStyle w:val="ListParagraph"/>
              <w:ind w:left="0"/>
              <w:jc w:val="both"/>
              <w:rPr>
                <w:rFonts w:ascii="Verdana" w:hAnsi="Verdana"/>
                <w:b/>
                <w:bCs/>
              </w:rPr>
            </w:pPr>
          </w:p>
        </w:tc>
      </w:tr>
      <w:tr w:rsidR="00F06E7E" w:rsidRPr="00902A9B" w14:paraId="007F6484" w14:textId="77777777" w:rsidTr="00F06E7E">
        <w:tc>
          <w:tcPr>
            <w:tcW w:w="720" w:type="dxa"/>
            <w:tcBorders>
              <w:top w:val="single" w:sz="4" w:space="0" w:color="auto"/>
              <w:left w:val="nil"/>
              <w:bottom w:val="single" w:sz="4" w:space="0" w:color="auto"/>
              <w:right w:val="nil"/>
            </w:tcBorders>
          </w:tcPr>
          <w:p w14:paraId="64728371" w14:textId="77777777" w:rsidR="00F06E7E" w:rsidRPr="00902A9B" w:rsidRDefault="00F06E7E" w:rsidP="00C44AC1">
            <w:pPr>
              <w:pStyle w:val="ListParagraph"/>
              <w:ind w:left="0"/>
              <w:jc w:val="both"/>
              <w:rPr>
                <w:rFonts w:ascii="Verdana" w:hAnsi="Verdana"/>
              </w:rPr>
            </w:pPr>
          </w:p>
        </w:tc>
        <w:tc>
          <w:tcPr>
            <w:tcW w:w="2641" w:type="dxa"/>
            <w:tcBorders>
              <w:top w:val="single" w:sz="4" w:space="0" w:color="auto"/>
              <w:left w:val="nil"/>
              <w:bottom w:val="single" w:sz="4" w:space="0" w:color="auto"/>
              <w:right w:val="nil"/>
            </w:tcBorders>
          </w:tcPr>
          <w:p w14:paraId="1829752C" w14:textId="77777777" w:rsidR="00F06E7E" w:rsidRPr="00902A9B" w:rsidRDefault="00F06E7E" w:rsidP="00C44AC1">
            <w:pPr>
              <w:pStyle w:val="ListParagraph"/>
              <w:ind w:left="0"/>
              <w:jc w:val="both"/>
              <w:rPr>
                <w:rFonts w:ascii="Verdana" w:hAnsi="Verdana"/>
              </w:rPr>
            </w:pPr>
          </w:p>
        </w:tc>
        <w:tc>
          <w:tcPr>
            <w:tcW w:w="1812" w:type="dxa"/>
            <w:tcBorders>
              <w:top w:val="single" w:sz="4" w:space="0" w:color="auto"/>
              <w:left w:val="nil"/>
              <w:bottom w:val="single" w:sz="4" w:space="0" w:color="auto"/>
              <w:right w:val="nil"/>
            </w:tcBorders>
          </w:tcPr>
          <w:p w14:paraId="0980DAC6" w14:textId="77777777" w:rsidR="00F06E7E" w:rsidRPr="00902A9B" w:rsidRDefault="00F06E7E" w:rsidP="00C44AC1">
            <w:pPr>
              <w:pStyle w:val="ListParagraph"/>
              <w:ind w:left="0"/>
              <w:jc w:val="both"/>
              <w:rPr>
                <w:rFonts w:ascii="Verdana" w:hAnsi="Verdana"/>
              </w:rPr>
            </w:pPr>
          </w:p>
        </w:tc>
        <w:tc>
          <w:tcPr>
            <w:tcW w:w="1501" w:type="dxa"/>
            <w:tcBorders>
              <w:top w:val="single" w:sz="4" w:space="0" w:color="auto"/>
              <w:left w:val="nil"/>
              <w:bottom w:val="single" w:sz="4" w:space="0" w:color="auto"/>
              <w:right w:val="nil"/>
            </w:tcBorders>
          </w:tcPr>
          <w:p w14:paraId="2F55A3D7" w14:textId="77777777" w:rsidR="00F06E7E" w:rsidRPr="00902A9B" w:rsidRDefault="00F06E7E" w:rsidP="00C44AC1">
            <w:pPr>
              <w:pStyle w:val="ListParagraph"/>
              <w:ind w:left="0"/>
              <w:jc w:val="both"/>
              <w:rPr>
                <w:rFonts w:ascii="Verdana" w:hAnsi="Verdana"/>
              </w:rPr>
            </w:pPr>
          </w:p>
        </w:tc>
        <w:tc>
          <w:tcPr>
            <w:tcW w:w="1307" w:type="dxa"/>
            <w:tcBorders>
              <w:top w:val="single" w:sz="4" w:space="0" w:color="auto"/>
              <w:left w:val="nil"/>
              <w:bottom w:val="single" w:sz="4" w:space="0" w:color="auto"/>
              <w:right w:val="nil"/>
            </w:tcBorders>
          </w:tcPr>
          <w:p w14:paraId="037B34A5" w14:textId="77777777" w:rsidR="00F06E7E" w:rsidRPr="00902A9B" w:rsidRDefault="00F06E7E" w:rsidP="00C44AC1">
            <w:pPr>
              <w:pStyle w:val="ListParagraph"/>
              <w:ind w:left="0"/>
              <w:jc w:val="both"/>
              <w:rPr>
                <w:rFonts w:ascii="Verdana" w:hAnsi="Verdana"/>
              </w:rPr>
            </w:pPr>
          </w:p>
        </w:tc>
        <w:tc>
          <w:tcPr>
            <w:tcW w:w="1448" w:type="dxa"/>
            <w:tcBorders>
              <w:top w:val="single" w:sz="4" w:space="0" w:color="auto"/>
              <w:left w:val="nil"/>
              <w:bottom w:val="single" w:sz="4" w:space="0" w:color="auto"/>
              <w:right w:val="nil"/>
            </w:tcBorders>
          </w:tcPr>
          <w:p w14:paraId="289F40A3" w14:textId="77777777" w:rsidR="00F06E7E" w:rsidRPr="00902A9B" w:rsidRDefault="00F06E7E" w:rsidP="00C44AC1">
            <w:pPr>
              <w:pStyle w:val="ListParagraph"/>
              <w:ind w:left="0"/>
              <w:jc w:val="both"/>
              <w:rPr>
                <w:rFonts w:ascii="Verdana" w:hAnsi="Verdana"/>
              </w:rPr>
            </w:pPr>
          </w:p>
        </w:tc>
      </w:tr>
      <w:tr w:rsidR="00F06E7E" w:rsidRPr="00902A9B" w14:paraId="56DF769D" w14:textId="77777777" w:rsidTr="00F06E7E">
        <w:tc>
          <w:tcPr>
            <w:tcW w:w="720" w:type="dxa"/>
            <w:tcBorders>
              <w:top w:val="single" w:sz="4" w:space="0" w:color="auto"/>
            </w:tcBorders>
          </w:tcPr>
          <w:p w14:paraId="1FD230A5" w14:textId="780C7954" w:rsidR="00F06E7E" w:rsidRPr="00902A9B" w:rsidRDefault="00F06E7E" w:rsidP="00F06E7E">
            <w:pPr>
              <w:pStyle w:val="ListParagraph"/>
              <w:ind w:left="0"/>
              <w:jc w:val="both"/>
              <w:rPr>
                <w:rFonts w:ascii="Verdana" w:hAnsi="Verdana"/>
              </w:rPr>
            </w:pPr>
            <w:r w:rsidRPr="00902A9B">
              <w:rPr>
                <w:rFonts w:ascii="Verdana" w:hAnsi="Verdana"/>
                <w:b/>
                <w:bCs/>
              </w:rPr>
              <w:t>S. No.</w:t>
            </w:r>
          </w:p>
        </w:tc>
        <w:tc>
          <w:tcPr>
            <w:tcW w:w="2641" w:type="dxa"/>
            <w:tcBorders>
              <w:top w:val="single" w:sz="4" w:space="0" w:color="auto"/>
            </w:tcBorders>
          </w:tcPr>
          <w:p w14:paraId="5DA0F7A4" w14:textId="11977E29" w:rsidR="00F06E7E" w:rsidRPr="00902A9B" w:rsidRDefault="00F06E7E" w:rsidP="00F06E7E">
            <w:pPr>
              <w:pStyle w:val="ListParagraph"/>
              <w:ind w:left="0"/>
              <w:jc w:val="both"/>
              <w:rPr>
                <w:rFonts w:ascii="Verdana" w:hAnsi="Verdana"/>
              </w:rPr>
            </w:pPr>
            <w:r w:rsidRPr="00902A9B">
              <w:rPr>
                <w:rFonts w:ascii="Verdana" w:hAnsi="Verdana"/>
                <w:b/>
                <w:bCs/>
              </w:rPr>
              <w:t>Regulation</w:t>
            </w:r>
          </w:p>
        </w:tc>
        <w:tc>
          <w:tcPr>
            <w:tcW w:w="1812" w:type="dxa"/>
            <w:tcBorders>
              <w:top w:val="single" w:sz="4" w:space="0" w:color="auto"/>
            </w:tcBorders>
          </w:tcPr>
          <w:p w14:paraId="03493648" w14:textId="7BCF9B12" w:rsidR="00F06E7E" w:rsidRPr="00902A9B" w:rsidRDefault="00F06E7E" w:rsidP="00F06E7E">
            <w:pPr>
              <w:pStyle w:val="ListParagraph"/>
              <w:ind w:left="0"/>
              <w:jc w:val="both"/>
              <w:rPr>
                <w:rFonts w:ascii="Verdana" w:hAnsi="Verdana"/>
              </w:rPr>
            </w:pPr>
            <w:r w:rsidRPr="00902A9B">
              <w:rPr>
                <w:rFonts w:ascii="Verdana" w:hAnsi="Verdana"/>
                <w:b/>
                <w:bCs/>
              </w:rPr>
              <w:t>Requirement</w:t>
            </w:r>
          </w:p>
        </w:tc>
        <w:tc>
          <w:tcPr>
            <w:tcW w:w="1501" w:type="dxa"/>
            <w:tcBorders>
              <w:top w:val="single" w:sz="4" w:space="0" w:color="auto"/>
            </w:tcBorders>
          </w:tcPr>
          <w:p w14:paraId="2AB42A9F" w14:textId="667CF9DF" w:rsidR="00F06E7E" w:rsidRPr="00902A9B" w:rsidRDefault="00F06E7E" w:rsidP="00F06E7E">
            <w:pPr>
              <w:pStyle w:val="ListParagraph"/>
              <w:ind w:left="0"/>
              <w:jc w:val="both"/>
              <w:rPr>
                <w:rFonts w:ascii="Verdana" w:hAnsi="Verdana"/>
              </w:rPr>
            </w:pPr>
            <w:r w:rsidRPr="00902A9B">
              <w:rPr>
                <w:rFonts w:ascii="Verdana" w:hAnsi="Verdana"/>
                <w:b/>
                <w:bCs/>
              </w:rPr>
              <w:t>Frequency</w:t>
            </w:r>
          </w:p>
        </w:tc>
        <w:tc>
          <w:tcPr>
            <w:tcW w:w="1307" w:type="dxa"/>
            <w:tcBorders>
              <w:top w:val="single" w:sz="4" w:space="0" w:color="auto"/>
            </w:tcBorders>
          </w:tcPr>
          <w:p w14:paraId="5CD3CDA9" w14:textId="638AD56C" w:rsidR="00F06E7E" w:rsidRPr="00902A9B" w:rsidRDefault="00F06E7E" w:rsidP="00F06E7E">
            <w:pPr>
              <w:pStyle w:val="ListParagraph"/>
              <w:ind w:left="0"/>
              <w:jc w:val="both"/>
              <w:rPr>
                <w:rFonts w:ascii="Verdana" w:hAnsi="Verdana"/>
              </w:rPr>
            </w:pPr>
            <w:r w:rsidRPr="00902A9B">
              <w:rPr>
                <w:rFonts w:ascii="Verdana" w:hAnsi="Verdana"/>
                <w:b/>
                <w:bCs/>
              </w:rPr>
              <w:t>Due date</w:t>
            </w:r>
          </w:p>
        </w:tc>
        <w:tc>
          <w:tcPr>
            <w:tcW w:w="1448" w:type="dxa"/>
            <w:tcBorders>
              <w:top w:val="single" w:sz="4" w:space="0" w:color="auto"/>
            </w:tcBorders>
          </w:tcPr>
          <w:p w14:paraId="4485AA34" w14:textId="602A8246" w:rsidR="00F06E7E" w:rsidRPr="00902A9B" w:rsidRDefault="00F06E7E" w:rsidP="00F06E7E">
            <w:pPr>
              <w:pStyle w:val="ListParagraph"/>
              <w:ind w:left="0"/>
              <w:jc w:val="both"/>
              <w:rPr>
                <w:rFonts w:ascii="Verdana" w:hAnsi="Verdana"/>
              </w:rPr>
            </w:pPr>
            <w:r w:rsidRPr="00902A9B">
              <w:rPr>
                <w:rFonts w:ascii="Verdana" w:hAnsi="Verdana"/>
                <w:b/>
                <w:bCs/>
              </w:rPr>
              <w:t>Extended due date</w:t>
            </w:r>
          </w:p>
        </w:tc>
      </w:tr>
      <w:tr w:rsidR="00A46E1C" w:rsidRPr="00902A9B" w14:paraId="5FF392E2" w14:textId="77777777" w:rsidTr="00533C8B">
        <w:tc>
          <w:tcPr>
            <w:tcW w:w="720" w:type="dxa"/>
          </w:tcPr>
          <w:p w14:paraId="04409815" w14:textId="3FEEBFE1" w:rsidR="00A46E1C" w:rsidRPr="00902A9B" w:rsidRDefault="00A46E1C" w:rsidP="00C44AC1">
            <w:pPr>
              <w:pStyle w:val="ListParagraph"/>
              <w:ind w:left="0"/>
              <w:jc w:val="both"/>
              <w:rPr>
                <w:rFonts w:ascii="Verdana" w:hAnsi="Verdana"/>
              </w:rPr>
            </w:pPr>
            <w:r w:rsidRPr="00902A9B">
              <w:rPr>
                <w:rFonts w:ascii="Verdana" w:hAnsi="Verdana"/>
              </w:rPr>
              <w:t>3.</w:t>
            </w:r>
          </w:p>
        </w:tc>
        <w:tc>
          <w:tcPr>
            <w:tcW w:w="2641" w:type="dxa"/>
          </w:tcPr>
          <w:p w14:paraId="3D171D2B" w14:textId="19409700" w:rsidR="00A46E1C" w:rsidRPr="00902A9B" w:rsidRDefault="00A46E1C" w:rsidP="00C44AC1">
            <w:pPr>
              <w:pStyle w:val="ListParagraph"/>
              <w:ind w:left="0"/>
              <w:jc w:val="both"/>
              <w:rPr>
                <w:rFonts w:ascii="Verdana" w:hAnsi="Verdana"/>
              </w:rPr>
            </w:pPr>
            <w:r w:rsidRPr="00902A9B">
              <w:rPr>
                <w:rFonts w:ascii="Verdana" w:hAnsi="Verdana"/>
              </w:rPr>
              <w:t>Regulation 19(3A)</w:t>
            </w:r>
          </w:p>
        </w:tc>
        <w:tc>
          <w:tcPr>
            <w:tcW w:w="1812" w:type="dxa"/>
          </w:tcPr>
          <w:p w14:paraId="3AC6D5A9" w14:textId="020D58E8" w:rsidR="00A46E1C" w:rsidRPr="00902A9B" w:rsidRDefault="00A46E1C" w:rsidP="00C44AC1">
            <w:pPr>
              <w:pStyle w:val="ListParagraph"/>
              <w:ind w:left="0"/>
              <w:jc w:val="both"/>
              <w:rPr>
                <w:rFonts w:ascii="Verdana" w:hAnsi="Verdana"/>
              </w:rPr>
            </w:pPr>
            <w:r w:rsidRPr="00902A9B">
              <w:rPr>
                <w:rFonts w:ascii="Verdana" w:hAnsi="Verdana"/>
              </w:rPr>
              <w:t>The nomination and remuneration committee shall meet at least once in a year</w:t>
            </w:r>
          </w:p>
        </w:tc>
        <w:tc>
          <w:tcPr>
            <w:tcW w:w="1501" w:type="dxa"/>
          </w:tcPr>
          <w:p w14:paraId="78FF8277" w14:textId="74A2A15D" w:rsidR="00A46E1C" w:rsidRPr="00902A9B" w:rsidRDefault="00A46E1C" w:rsidP="00C44AC1">
            <w:pPr>
              <w:pStyle w:val="ListParagraph"/>
              <w:ind w:left="0"/>
              <w:jc w:val="both"/>
              <w:rPr>
                <w:rFonts w:ascii="Verdana" w:hAnsi="Verdana"/>
              </w:rPr>
            </w:pPr>
            <w:r w:rsidRPr="00902A9B">
              <w:rPr>
                <w:rFonts w:ascii="Verdana" w:hAnsi="Verdana"/>
              </w:rPr>
              <w:t>Yearly</w:t>
            </w:r>
          </w:p>
        </w:tc>
        <w:tc>
          <w:tcPr>
            <w:tcW w:w="1307" w:type="dxa"/>
          </w:tcPr>
          <w:p w14:paraId="7D3D19C5" w14:textId="69AC12DD" w:rsidR="00A46E1C" w:rsidRPr="00902A9B" w:rsidRDefault="00A46E1C" w:rsidP="00C44AC1">
            <w:pPr>
              <w:pStyle w:val="ListParagraph"/>
              <w:ind w:left="0"/>
              <w:jc w:val="both"/>
              <w:rPr>
                <w:rFonts w:ascii="Verdana" w:hAnsi="Verdana"/>
              </w:rPr>
            </w:pPr>
            <w:r w:rsidRPr="00902A9B">
              <w:rPr>
                <w:rFonts w:ascii="Verdana" w:hAnsi="Verdana"/>
              </w:rPr>
              <w:t>March 31, 2020</w:t>
            </w:r>
          </w:p>
        </w:tc>
        <w:tc>
          <w:tcPr>
            <w:tcW w:w="1448" w:type="dxa"/>
          </w:tcPr>
          <w:p w14:paraId="2C12953A" w14:textId="10505ACC" w:rsidR="00A46E1C" w:rsidRPr="00902A9B" w:rsidRDefault="00A46E1C" w:rsidP="00C44AC1">
            <w:pPr>
              <w:pStyle w:val="ListParagraph"/>
              <w:ind w:left="0"/>
              <w:jc w:val="both"/>
              <w:rPr>
                <w:rFonts w:ascii="Verdana" w:hAnsi="Verdana"/>
              </w:rPr>
            </w:pPr>
            <w:r w:rsidRPr="00902A9B">
              <w:rPr>
                <w:rFonts w:ascii="Verdana" w:hAnsi="Verdana"/>
              </w:rPr>
              <w:t>June 30, 2020</w:t>
            </w:r>
          </w:p>
        </w:tc>
      </w:tr>
      <w:tr w:rsidR="00C44AC1" w:rsidRPr="00902A9B" w14:paraId="00778EA4" w14:textId="77777777" w:rsidTr="00533C8B">
        <w:tc>
          <w:tcPr>
            <w:tcW w:w="720" w:type="dxa"/>
          </w:tcPr>
          <w:p w14:paraId="1E56C683" w14:textId="592A9909" w:rsidR="00C44AC1" w:rsidRPr="00902A9B" w:rsidRDefault="00A46E1C" w:rsidP="00C44AC1">
            <w:pPr>
              <w:pStyle w:val="ListParagraph"/>
              <w:ind w:left="0"/>
              <w:jc w:val="both"/>
              <w:rPr>
                <w:rFonts w:ascii="Verdana" w:hAnsi="Verdana"/>
              </w:rPr>
            </w:pPr>
            <w:r w:rsidRPr="00902A9B">
              <w:rPr>
                <w:rFonts w:ascii="Verdana" w:hAnsi="Verdana"/>
              </w:rPr>
              <w:t>4</w:t>
            </w:r>
            <w:r w:rsidR="00C44AC1" w:rsidRPr="00902A9B">
              <w:rPr>
                <w:rFonts w:ascii="Verdana" w:hAnsi="Verdana"/>
              </w:rPr>
              <w:t>.</w:t>
            </w:r>
          </w:p>
        </w:tc>
        <w:tc>
          <w:tcPr>
            <w:tcW w:w="2641" w:type="dxa"/>
          </w:tcPr>
          <w:p w14:paraId="020A6456" w14:textId="7A4D58B0" w:rsidR="00C44AC1" w:rsidRPr="00902A9B" w:rsidRDefault="00C44AC1" w:rsidP="00C44AC1">
            <w:pPr>
              <w:pStyle w:val="ListParagraph"/>
              <w:ind w:left="0"/>
              <w:jc w:val="both"/>
              <w:rPr>
                <w:rFonts w:ascii="Verdana" w:hAnsi="Verdana"/>
              </w:rPr>
            </w:pPr>
            <w:r w:rsidRPr="00902A9B">
              <w:rPr>
                <w:rFonts w:ascii="Verdana" w:hAnsi="Verdana"/>
              </w:rPr>
              <w:t>Regulation 20(3A)</w:t>
            </w:r>
          </w:p>
        </w:tc>
        <w:tc>
          <w:tcPr>
            <w:tcW w:w="1812" w:type="dxa"/>
          </w:tcPr>
          <w:p w14:paraId="63B7FB6D" w14:textId="3EBEBDE8" w:rsidR="00C44AC1" w:rsidRPr="00902A9B" w:rsidRDefault="00C44AC1" w:rsidP="00C44AC1">
            <w:pPr>
              <w:pStyle w:val="ListParagraph"/>
              <w:ind w:left="0"/>
              <w:jc w:val="both"/>
              <w:rPr>
                <w:rFonts w:ascii="Verdana" w:hAnsi="Verdana"/>
              </w:rPr>
            </w:pPr>
            <w:r w:rsidRPr="00902A9B">
              <w:rPr>
                <w:rFonts w:ascii="Verdana" w:hAnsi="Verdana"/>
              </w:rPr>
              <w:t>The Stakeholders Relationship committee shall meet at least once in a year.</w:t>
            </w:r>
          </w:p>
        </w:tc>
        <w:tc>
          <w:tcPr>
            <w:tcW w:w="1501" w:type="dxa"/>
          </w:tcPr>
          <w:p w14:paraId="243569AE" w14:textId="7DDB427C" w:rsidR="00C44AC1" w:rsidRPr="00902A9B" w:rsidRDefault="00C44AC1" w:rsidP="00C44AC1">
            <w:pPr>
              <w:pStyle w:val="ListParagraph"/>
              <w:ind w:left="0"/>
              <w:jc w:val="both"/>
              <w:rPr>
                <w:rFonts w:ascii="Verdana" w:hAnsi="Verdana"/>
              </w:rPr>
            </w:pPr>
            <w:r w:rsidRPr="00902A9B">
              <w:rPr>
                <w:rFonts w:ascii="Verdana" w:hAnsi="Verdana"/>
              </w:rPr>
              <w:t>Yearly</w:t>
            </w:r>
          </w:p>
        </w:tc>
        <w:tc>
          <w:tcPr>
            <w:tcW w:w="1307" w:type="dxa"/>
          </w:tcPr>
          <w:p w14:paraId="302403F7" w14:textId="55EF959F" w:rsidR="00C44AC1" w:rsidRPr="00902A9B" w:rsidRDefault="00C44AC1" w:rsidP="00C44AC1">
            <w:pPr>
              <w:pStyle w:val="ListParagraph"/>
              <w:ind w:left="0"/>
              <w:jc w:val="both"/>
              <w:rPr>
                <w:rFonts w:ascii="Verdana" w:hAnsi="Verdana"/>
              </w:rPr>
            </w:pPr>
            <w:r w:rsidRPr="00902A9B">
              <w:rPr>
                <w:rFonts w:ascii="Verdana" w:hAnsi="Verdana"/>
              </w:rPr>
              <w:t>March 31, 2020</w:t>
            </w:r>
          </w:p>
        </w:tc>
        <w:tc>
          <w:tcPr>
            <w:tcW w:w="1448" w:type="dxa"/>
          </w:tcPr>
          <w:p w14:paraId="70B8E6B5" w14:textId="54189378" w:rsidR="00C44AC1" w:rsidRPr="00902A9B" w:rsidRDefault="00C44AC1" w:rsidP="00C44AC1">
            <w:pPr>
              <w:pStyle w:val="ListParagraph"/>
              <w:ind w:left="0"/>
              <w:jc w:val="both"/>
              <w:rPr>
                <w:rFonts w:ascii="Verdana" w:hAnsi="Verdana"/>
              </w:rPr>
            </w:pPr>
            <w:r w:rsidRPr="00902A9B">
              <w:rPr>
                <w:rFonts w:ascii="Verdana" w:hAnsi="Verdana"/>
              </w:rPr>
              <w:t>June 30, 2020</w:t>
            </w:r>
          </w:p>
        </w:tc>
      </w:tr>
      <w:tr w:rsidR="00C44AC1" w:rsidRPr="00902A9B" w14:paraId="4239E8F7" w14:textId="77777777" w:rsidTr="00533C8B">
        <w:tc>
          <w:tcPr>
            <w:tcW w:w="720" w:type="dxa"/>
          </w:tcPr>
          <w:p w14:paraId="05A7D7D0" w14:textId="26C850A1" w:rsidR="00C44AC1" w:rsidRPr="00902A9B" w:rsidRDefault="00A46E1C" w:rsidP="00C44AC1">
            <w:pPr>
              <w:pStyle w:val="ListParagraph"/>
              <w:ind w:left="0"/>
              <w:jc w:val="both"/>
              <w:rPr>
                <w:rFonts w:ascii="Verdana" w:hAnsi="Verdana"/>
              </w:rPr>
            </w:pPr>
            <w:r w:rsidRPr="00902A9B">
              <w:rPr>
                <w:rFonts w:ascii="Verdana" w:hAnsi="Verdana"/>
              </w:rPr>
              <w:t>5</w:t>
            </w:r>
            <w:r w:rsidR="00C44AC1" w:rsidRPr="00902A9B">
              <w:rPr>
                <w:rFonts w:ascii="Verdana" w:hAnsi="Verdana"/>
              </w:rPr>
              <w:t>.</w:t>
            </w:r>
          </w:p>
        </w:tc>
        <w:tc>
          <w:tcPr>
            <w:tcW w:w="2641" w:type="dxa"/>
          </w:tcPr>
          <w:p w14:paraId="130EFCD1" w14:textId="7003FC09" w:rsidR="00C44AC1" w:rsidRPr="00902A9B" w:rsidRDefault="00C44AC1" w:rsidP="00C44AC1">
            <w:pPr>
              <w:pStyle w:val="ListParagraph"/>
              <w:ind w:left="0"/>
              <w:jc w:val="both"/>
              <w:rPr>
                <w:rFonts w:ascii="Verdana" w:hAnsi="Verdana"/>
              </w:rPr>
            </w:pPr>
            <w:r w:rsidRPr="00902A9B">
              <w:rPr>
                <w:rFonts w:ascii="Verdana" w:hAnsi="Verdana"/>
              </w:rPr>
              <w:t>Regulation 21(3A)</w:t>
            </w:r>
          </w:p>
        </w:tc>
        <w:tc>
          <w:tcPr>
            <w:tcW w:w="1812" w:type="dxa"/>
          </w:tcPr>
          <w:p w14:paraId="41058A04" w14:textId="3875237A" w:rsidR="00C44AC1" w:rsidRPr="00902A9B" w:rsidRDefault="00C44AC1" w:rsidP="00C44AC1">
            <w:pPr>
              <w:pStyle w:val="ListParagraph"/>
              <w:ind w:left="0"/>
              <w:jc w:val="both"/>
              <w:rPr>
                <w:rFonts w:ascii="Verdana" w:hAnsi="Verdana"/>
              </w:rPr>
            </w:pPr>
            <w:r w:rsidRPr="00902A9B">
              <w:rPr>
                <w:rFonts w:ascii="Verdana" w:hAnsi="Verdana"/>
              </w:rPr>
              <w:t>The Risk Management Committee shall meet at least once in a year</w:t>
            </w:r>
          </w:p>
        </w:tc>
        <w:tc>
          <w:tcPr>
            <w:tcW w:w="1501" w:type="dxa"/>
          </w:tcPr>
          <w:p w14:paraId="0C8C9CD8" w14:textId="66D7E0C7" w:rsidR="00C44AC1" w:rsidRPr="00902A9B" w:rsidRDefault="00C44AC1" w:rsidP="00C44AC1">
            <w:pPr>
              <w:pStyle w:val="ListParagraph"/>
              <w:ind w:left="0"/>
              <w:jc w:val="both"/>
              <w:rPr>
                <w:rFonts w:ascii="Verdana" w:hAnsi="Verdana"/>
              </w:rPr>
            </w:pPr>
            <w:r w:rsidRPr="00902A9B">
              <w:rPr>
                <w:rFonts w:ascii="Verdana" w:hAnsi="Verdana"/>
              </w:rPr>
              <w:t>Yearly</w:t>
            </w:r>
          </w:p>
        </w:tc>
        <w:tc>
          <w:tcPr>
            <w:tcW w:w="1307" w:type="dxa"/>
          </w:tcPr>
          <w:p w14:paraId="0969CAE9" w14:textId="734A960A" w:rsidR="00C44AC1" w:rsidRPr="00902A9B" w:rsidRDefault="00C44AC1" w:rsidP="00C44AC1">
            <w:pPr>
              <w:pStyle w:val="ListParagraph"/>
              <w:ind w:left="0"/>
              <w:jc w:val="both"/>
              <w:rPr>
                <w:rFonts w:ascii="Verdana" w:hAnsi="Verdana"/>
              </w:rPr>
            </w:pPr>
            <w:r w:rsidRPr="00902A9B">
              <w:rPr>
                <w:rFonts w:ascii="Verdana" w:hAnsi="Verdana"/>
              </w:rPr>
              <w:t>March 31, 2020</w:t>
            </w:r>
          </w:p>
        </w:tc>
        <w:tc>
          <w:tcPr>
            <w:tcW w:w="1448" w:type="dxa"/>
          </w:tcPr>
          <w:p w14:paraId="3A9A0837" w14:textId="54CE062A" w:rsidR="00C44AC1" w:rsidRPr="00902A9B" w:rsidRDefault="00C44AC1" w:rsidP="00C44AC1">
            <w:pPr>
              <w:pStyle w:val="ListParagraph"/>
              <w:ind w:left="0"/>
              <w:jc w:val="both"/>
              <w:rPr>
                <w:rFonts w:ascii="Verdana" w:hAnsi="Verdana"/>
              </w:rPr>
            </w:pPr>
            <w:r w:rsidRPr="00902A9B">
              <w:rPr>
                <w:rFonts w:ascii="Verdana" w:hAnsi="Verdana"/>
              </w:rPr>
              <w:t>June 30, 2020</w:t>
            </w:r>
          </w:p>
        </w:tc>
      </w:tr>
    </w:tbl>
    <w:p w14:paraId="2E2CE683" w14:textId="7ECF4934" w:rsidR="00C44AC1" w:rsidRPr="00902A9B" w:rsidRDefault="00C44AC1" w:rsidP="00C44AC1">
      <w:pPr>
        <w:pStyle w:val="ListParagraph"/>
        <w:jc w:val="both"/>
        <w:rPr>
          <w:rFonts w:ascii="Verdana" w:hAnsi="Verdana"/>
        </w:rPr>
      </w:pPr>
    </w:p>
    <w:p w14:paraId="713848D2" w14:textId="4FCF96BE" w:rsidR="00C44AC1" w:rsidRPr="00902A9B" w:rsidRDefault="00C44AC1" w:rsidP="00533C8B">
      <w:pPr>
        <w:pStyle w:val="ListParagraph"/>
        <w:numPr>
          <w:ilvl w:val="0"/>
          <w:numId w:val="2"/>
        </w:numPr>
        <w:ind w:left="720" w:hanging="720"/>
        <w:jc w:val="both"/>
        <w:rPr>
          <w:rFonts w:ascii="Verdana" w:hAnsi="Verdana"/>
          <w:b/>
          <w:bCs/>
          <w:u w:val="single"/>
        </w:rPr>
      </w:pPr>
      <w:r w:rsidRPr="00902A9B">
        <w:rPr>
          <w:rFonts w:ascii="Verdana" w:hAnsi="Verdana"/>
          <w:b/>
          <w:bCs/>
          <w:u w:val="single"/>
        </w:rPr>
        <w:t>Relaxation of the operation of the SEBI circular on Standard Operating Procedure dated January 22, 2020</w:t>
      </w:r>
    </w:p>
    <w:p w14:paraId="69D6C3E6" w14:textId="0220C4D8" w:rsidR="00C44AC1" w:rsidRPr="00902A9B" w:rsidRDefault="00C44AC1" w:rsidP="00C44AC1">
      <w:pPr>
        <w:pStyle w:val="ListParagraph"/>
        <w:jc w:val="both"/>
        <w:rPr>
          <w:rFonts w:ascii="Verdana" w:hAnsi="Verdana"/>
          <w:b/>
          <w:bCs/>
          <w:u w:val="single"/>
        </w:rPr>
      </w:pPr>
    </w:p>
    <w:p w14:paraId="3E2C334A" w14:textId="31B2DD80" w:rsidR="00C44AC1" w:rsidRPr="00902A9B" w:rsidRDefault="00C44AC1" w:rsidP="000F4443">
      <w:pPr>
        <w:pStyle w:val="ListParagraph"/>
        <w:ind w:left="0"/>
        <w:jc w:val="both"/>
        <w:rPr>
          <w:rFonts w:ascii="Verdana" w:hAnsi="Verdana"/>
        </w:rPr>
      </w:pPr>
      <w:r w:rsidRPr="00902A9B">
        <w:rPr>
          <w:rFonts w:ascii="Verdana" w:hAnsi="Verdana"/>
        </w:rPr>
        <w:t>SEBI vide circular no. SEBI/HO/CFD/CMD/CIR/P/2020/12 dated January 22, 2020 issued the Standard Operating Procedure (</w:t>
      </w:r>
      <w:proofErr w:type="spellStart"/>
      <w:r w:rsidRPr="00902A9B">
        <w:rPr>
          <w:rFonts w:ascii="Verdana" w:hAnsi="Verdana"/>
        </w:rPr>
        <w:t>SoP</w:t>
      </w:r>
      <w:proofErr w:type="spellEnd"/>
      <w:r w:rsidRPr="00902A9B">
        <w:rPr>
          <w:rFonts w:ascii="Verdana" w:hAnsi="Verdana"/>
        </w:rPr>
        <w:t xml:space="preserve">) on imposition of fines and other enforcement actions for non-compliances with provisions of the LODR, the effective date of operation of which is for compliance periods ending on or after March 31, 2020. The said circular dated January 22, 2020 shall now come into force with effect from compliance periods ending on or after June 30, 2020. It may be noted that the </w:t>
      </w:r>
      <w:proofErr w:type="spellStart"/>
      <w:r w:rsidRPr="00902A9B">
        <w:rPr>
          <w:rFonts w:ascii="Verdana" w:hAnsi="Verdana"/>
        </w:rPr>
        <w:t>SoP</w:t>
      </w:r>
      <w:proofErr w:type="spellEnd"/>
      <w:r w:rsidRPr="00902A9B">
        <w:rPr>
          <w:rFonts w:ascii="Verdana" w:hAnsi="Verdana"/>
        </w:rPr>
        <w:t xml:space="preserve"> circular dated May 03, 2018 would be applicable till such date.</w:t>
      </w:r>
    </w:p>
    <w:p w14:paraId="35E83D8F" w14:textId="298E6A6C" w:rsidR="00303CF7" w:rsidRPr="00902A9B" w:rsidRDefault="00303CF7" w:rsidP="000F4443">
      <w:pPr>
        <w:pStyle w:val="ListParagraph"/>
        <w:ind w:left="0"/>
        <w:jc w:val="both"/>
        <w:rPr>
          <w:rFonts w:ascii="Verdana" w:hAnsi="Verdana"/>
        </w:rPr>
      </w:pPr>
    </w:p>
    <w:p w14:paraId="5795720C" w14:textId="7AAAB863" w:rsidR="00303CF7" w:rsidRPr="00902A9B" w:rsidRDefault="00303CF7" w:rsidP="000F4443">
      <w:pPr>
        <w:pStyle w:val="ListParagraph"/>
        <w:ind w:left="0"/>
        <w:jc w:val="both"/>
        <w:rPr>
          <w:rFonts w:ascii="Verdana" w:hAnsi="Verdana"/>
          <w:b/>
          <w:bCs/>
        </w:rPr>
      </w:pPr>
      <w:r w:rsidRPr="00902A9B">
        <w:rPr>
          <w:rFonts w:ascii="Verdana" w:hAnsi="Verdana"/>
          <w:b/>
          <w:bCs/>
        </w:rPr>
        <w:t xml:space="preserve">*The link of the aforesaid circulars </w:t>
      </w:r>
      <w:proofErr w:type="gramStart"/>
      <w:r w:rsidR="007C2AE3" w:rsidRPr="00902A9B">
        <w:rPr>
          <w:rFonts w:ascii="Verdana" w:hAnsi="Verdana"/>
          <w:b/>
          <w:bCs/>
        </w:rPr>
        <w:t>are</w:t>
      </w:r>
      <w:proofErr w:type="gramEnd"/>
      <w:r w:rsidRPr="00902A9B">
        <w:rPr>
          <w:rFonts w:ascii="Verdana" w:hAnsi="Verdana"/>
          <w:b/>
          <w:bCs/>
        </w:rPr>
        <w:t xml:space="preserve"> mentioned below:</w:t>
      </w:r>
    </w:p>
    <w:p w14:paraId="34BCEE65" w14:textId="2D3C35BE" w:rsidR="006518C4" w:rsidRPr="00902A9B" w:rsidRDefault="00403F5F" w:rsidP="006518C4">
      <w:pPr>
        <w:jc w:val="both"/>
        <w:rPr>
          <w:rFonts w:ascii="Verdana" w:hAnsi="Verdana"/>
          <w:b/>
          <w:bCs/>
        </w:rPr>
      </w:pPr>
      <w:hyperlink r:id="rId8" w:history="1">
        <w:r w:rsidR="007743CE" w:rsidRPr="00902A9B">
          <w:rPr>
            <w:rStyle w:val="Hyperlink"/>
            <w:rFonts w:ascii="Verdana" w:hAnsi="Verdana"/>
            <w:b/>
            <w:bCs/>
          </w:rPr>
          <w:t>https://www.bseindia.com/downloads/whtsnew/file/Cir-64.pdf</w:t>
        </w:r>
      </w:hyperlink>
    </w:p>
    <w:p w14:paraId="79E689F8" w14:textId="623F35B2" w:rsidR="00303CF7" w:rsidRPr="00902A9B" w:rsidRDefault="00403F5F" w:rsidP="006518C4">
      <w:pPr>
        <w:jc w:val="both"/>
        <w:rPr>
          <w:rStyle w:val="Hyperlink"/>
          <w:rFonts w:ascii="Verdana" w:hAnsi="Verdana"/>
          <w:b/>
          <w:bCs/>
        </w:rPr>
      </w:pPr>
      <w:hyperlink r:id="rId9" w:history="1">
        <w:r w:rsidR="00303CF7" w:rsidRPr="00902A9B">
          <w:rPr>
            <w:rStyle w:val="Hyperlink"/>
            <w:rFonts w:ascii="Verdana" w:hAnsi="Verdana"/>
            <w:b/>
            <w:bCs/>
          </w:rPr>
          <w:t>https://www.bseindia.com/downloads/whtsnew/file/CIR69.pdf</w:t>
        </w:r>
      </w:hyperlink>
    </w:p>
    <w:p w14:paraId="7795161B" w14:textId="658C417E" w:rsidR="00757B93" w:rsidRPr="00902A9B" w:rsidRDefault="00403F5F" w:rsidP="006518C4">
      <w:pPr>
        <w:jc w:val="both"/>
        <w:rPr>
          <w:rStyle w:val="Hyperlink"/>
        </w:rPr>
      </w:pPr>
      <w:hyperlink r:id="rId10" w:history="1">
        <w:r w:rsidR="00757B93" w:rsidRPr="00902A9B">
          <w:rPr>
            <w:rStyle w:val="Hyperlink"/>
            <w:rFonts w:ascii="Verdana" w:hAnsi="Verdana"/>
            <w:b/>
            <w:bCs/>
          </w:rPr>
          <w:t>https://www.bseindia.com/downloads/whtsnew/file/CIR70.pdf</w:t>
        </w:r>
      </w:hyperlink>
    </w:p>
    <w:p w14:paraId="63B0388E" w14:textId="77777777" w:rsidR="00757B93" w:rsidRPr="00902A9B" w:rsidRDefault="00757B93" w:rsidP="006518C4">
      <w:pPr>
        <w:jc w:val="both"/>
        <w:rPr>
          <w:rFonts w:ascii="Verdana" w:hAnsi="Verdana"/>
          <w:b/>
          <w:bCs/>
        </w:rPr>
      </w:pPr>
    </w:p>
    <w:p w14:paraId="4BF88F6E" w14:textId="672AC802" w:rsidR="00E83DC5" w:rsidRPr="00902A9B" w:rsidRDefault="00E83DC5" w:rsidP="00533C8B">
      <w:pPr>
        <w:pStyle w:val="ListParagraph"/>
        <w:numPr>
          <w:ilvl w:val="0"/>
          <w:numId w:val="2"/>
        </w:numPr>
        <w:ind w:left="720" w:hanging="720"/>
        <w:jc w:val="both"/>
        <w:rPr>
          <w:rFonts w:ascii="Verdana" w:hAnsi="Verdana"/>
          <w:b/>
          <w:bCs/>
          <w:u w:val="single"/>
        </w:rPr>
      </w:pPr>
      <w:r w:rsidRPr="00902A9B">
        <w:rPr>
          <w:rFonts w:ascii="Verdana" w:hAnsi="Verdana"/>
          <w:b/>
          <w:bCs/>
          <w:u w:val="single"/>
        </w:rPr>
        <w:t>The compliances on which SEBI has not yet commented on extension timeline on account of COVID-</w:t>
      </w:r>
      <w:r w:rsidR="007C2AE3" w:rsidRPr="00902A9B">
        <w:rPr>
          <w:rFonts w:ascii="Verdana" w:hAnsi="Verdana"/>
          <w:b/>
          <w:bCs/>
          <w:u w:val="single"/>
        </w:rPr>
        <w:t>19 &amp;</w:t>
      </w:r>
      <w:r w:rsidRPr="00902A9B">
        <w:rPr>
          <w:rFonts w:ascii="Verdana" w:hAnsi="Verdana"/>
          <w:b/>
          <w:bCs/>
          <w:u w:val="single"/>
        </w:rPr>
        <w:t xml:space="preserve"> which is deemed to be comply by </w:t>
      </w:r>
      <w:r w:rsidR="007C2AE3" w:rsidRPr="00902A9B">
        <w:rPr>
          <w:rFonts w:ascii="Verdana" w:hAnsi="Verdana"/>
          <w:b/>
          <w:bCs/>
          <w:u w:val="single"/>
        </w:rPr>
        <w:t>Company:</w:t>
      </w:r>
      <w:r w:rsidRPr="00902A9B">
        <w:rPr>
          <w:rFonts w:ascii="Verdana" w:hAnsi="Verdana"/>
          <w:b/>
          <w:bCs/>
          <w:u w:val="single"/>
        </w:rPr>
        <w:t xml:space="preserve"> key points as </w:t>
      </w:r>
      <w:r w:rsidR="007C2AE3" w:rsidRPr="00902A9B">
        <w:rPr>
          <w:rFonts w:ascii="Verdana" w:hAnsi="Verdana"/>
          <w:b/>
          <w:bCs/>
          <w:u w:val="single"/>
        </w:rPr>
        <w:t>under:</w:t>
      </w:r>
    </w:p>
    <w:p w14:paraId="6EC391B4" w14:textId="77777777" w:rsidR="00902A9B" w:rsidRPr="00902A9B" w:rsidRDefault="00902A9B" w:rsidP="00902A9B">
      <w:pPr>
        <w:pStyle w:val="ListParagraph"/>
        <w:ind w:left="0"/>
        <w:jc w:val="both"/>
        <w:rPr>
          <w:rFonts w:ascii="Verdana" w:hAnsi="Verdana"/>
          <w:b/>
          <w:bCs/>
          <w:u w:val="single"/>
        </w:rPr>
      </w:pPr>
    </w:p>
    <w:p w14:paraId="59F779CB" w14:textId="35E03349" w:rsidR="00902A9B"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 xml:space="preserve">SEBI DEPOSITORIES: </w:t>
      </w:r>
      <w:proofErr w:type="spellStart"/>
      <w:r w:rsidRPr="00902A9B">
        <w:rPr>
          <w:rFonts w:ascii="Verdana" w:hAnsi="Verdana"/>
        </w:rPr>
        <w:t>Reg</w:t>
      </w:r>
      <w:proofErr w:type="spellEnd"/>
      <w:r w:rsidRPr="00902A9B">
        <w:rPr>
          <w:rFonts w:ascii="Verdana" w:hAnsi="Verdana"/>
        </w:rPr>
        <w:t xml:space="preserve"> 55A - Reconciliation of share capital audit report to be comply within 30 days from the quarter end.</w:t>
      </w:r>
    </w:p>
    <w:p w14:paraId="06A35BAB" w14:textId="0E4B7E06" w:rsidR="00E83DC5"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 xml:space="preserve">Disclosure of Price </w:t>
      </w:r>
      <w:r w:rsidR="007C2AE3" w:rsidRPr="00902A9B">
        <w:rPr>
          <w:rFonts w:ascii="Verdana" w:hAnsi="Verdana"/>
        </w:rPr>
        <w:t>sensitive</w:t>
      </w:r>
      <w:r w:rsidRPr="00902A9B">
        <w:rPr>
          <w:rFonts w:ascii="Verdana" w:hAnsi="Verdana"/>
        </w:rPr>
        <w:t xml:space="preserve"> information.</w:t>
      </w:r>
    </w:p>
    <w:p w14:paraId="109DEBA8" w14:textId="5FB9A2C5" w:rsidR="00E83DC5"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 xml:space="preserve">SEBI </w:t>
      </w:r>
      <w:r w:rsidR="007C2AE3" w:rsidRPr="00902A9B">
        <w:rPr>
          <w:rFonts w:ascii="Verdana" w:hAnsi="Verdana"/>
        </w:rPr>
        <w:t>(PIT)</w:t>
      </w:r>
      <w:r w:rsidR="00902A9B" w:rsidRPr="00902A9B">
        <w:rPr>
          <w:rFonts w:ascii="Verdana" w:hAnsi="Verdana"/>
        </w:rPr>
        <w:t xml:space="preserve"> </w:t>
      </w:r>
      <w:r w:rsidR="007C2AE3" w:rsidRPr="00902A9B">
        <w:rPr>
          <w:rFonts w:ascii="Verdana" w:hAnsi="Verdana"/>
        </w:rPr>
        <w:t>Regulations Disclosures.</w:t>
      </w:r>
    </w:p>
    <w:p w14:paraId="62CCB03D" w14:textId="55B35CDF" w:rsidR="00E83DC5"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Stock Exchange listing fees.</w:t>
      </w:r>
    </w:p>
    <w:p w14:paraId="38A24008" w14:textId="7A14740C" w:rsidR="007C2AE3"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Annual declarations, Certificates as per LODR</w:t>
      </w:r>
      <w:r w:rsidR="007C2AE3" w:rsidRPr="00902A9B">
        <w:rPr>
          <w:rFonts w:ascii="Verdana" w:hAnsi="Verdana"/>
        </w:rPr>
        <w:t>.</w:t>
      </w:r>
    </w:p>
    <w:p w14:paraId="79378B11" w14:textId="3D164C13" w:rsidR="00E83DC5"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RTA I</w:t>
      </w:r>
      <w:r w:rsidR="007C2AE3" w:rsidRPr="00902A9B">
        <w:rPr>
          <w:rFonts w:ascii="Verdana" w:hAnsi="Verdana"/>
        </w:rPr>
        <w:t>nternal Audit</w:t>
      </w:r>
      <w:r w:rsidRPr="00902A9B">
        <w:rPr>
          <w:rFonts w:ascii="Verdana" w:hAnsi="Verdana"/>
        </w:rPr>
        <w:t xml:space="preserve"> Report.</w:t>
      </w:r>
    </w:p>
    <w:p w14:paraId="1CA06DD3" w14:textId="4D0E87FA" w:rsidR="00E83DC5" w:rsidRPr="00902A9B" w:rsidRDefault="00E83DC5" w:rsidP="00902A9B">
      <w:pPr>
        <w:pStyle w:val="ListParagraph"/>
        <w:numPr>
          <w:ilvl w:val="0"/>
          <w:numId w:val="4"/>
        </w:numPr>
        <w:spacing w:after="0" w:line="240" w:lineRule="auto"/>
        <w:ind w:hanging="720"/>
        <w:jc w:val="both"/>
        <w:rPr>
          <w:rFonts w:ascii="Verdana" w:hAnsi="Verdana"/>
        </w:rPr>
      </w:pPr>
      <w:r w:rsidRPr="00902A9B">
        <w:rPr>
          <w:rFonts w:ascii="Verdana" w:hAnsi="Verdana"/>
        </w:rPr>
        <w:t>Lockouts intimation.</w:t>
      </w:r>
    </w:p>
    <w:p w14:paraId="6FA64D7C" w14:textId="77777777" w:rsidR="00902A9B" w:rsidRPr="00902A9B" w:rsidRDefault="00902A9B" w:rsidP="00AD2747">
      <w:pPr>
        <w:pStyle w:val="ListParagraph"/>
        <w:spacing w:after="0" w:line="240" w:lineRule="auto"/>
        <w:ind w:left="0"/>
        <w:jc w:val="both"/>
        <w:rPr>
          <w:rFonts w:ascii="Verdana" w:hAnsi="Verdana"/>
        </w:rPr>
      </w:pPr>
    </w:p>
    <w:p w14:paraId="09886596" w14:textId="77777777" w:rsidR="00533C8B" w:rsidRDefault="00533C8B" w:rsidP="00AD2747">
      <w:pPr>
        <w:pStyle w:val="ListParagraph"/>
        <w:spacing w:after="0" w:line="240" w:lineRule="auto"/>
        <w:ind w:left="0"/>
        <w:jc w:val="both"/>
        <w:rPr>
          <w:rFonts w:ascii="Verdana" w:hAnsi="Verdana"/>
        </w:rPr>
      </w:pPr>
    </w:p>
    <w:p w14:paraId="370EF81C" w14:textId="77777777" w:rsidR="00AD2747" w:rsidRDefault="00AD2747" w:rsidP="00AD2747">
      <w:pPr>
        <w:spacing w:after="0" w:line="240" w:lineRule="auto"/>
        <w:rPr>
          <w:rFonts w:ascii="Verdana" w:eastAsia="Times New Roman" w:hAnsi="Verdana" w:cs="Times New Roman"/>
          <w:b/>
          <w:bCs/>
        </w:rPr>
      </w:pPr>
    </w:p>
    <w:p w14:paraId="50ADE82F" w14:textId="77777777" w:rsidR="00533C8B" w:rsidRDefault="00533C8B" w:rsidP="00AD2747">
      <w:pPr>
        <w:spacing w:after="0" w:line="240" w:lineRule="auto"/>
        <w:rPr>
          <w:rFonts w:ascii="Verdana" w:eastAsia="Times New Roman" w:hAnsi="Verdana" w:cs="Times New Roman"/>
          <w:b/>
          <w:bCs/>
        </w:rPr>
      </w:pPr>
    </w:p>
    <w:p w14:paraId="4617B6FF" w14:textId="77777777" w:rsidR="00AD2747" w:rsidRPr="00AD2747" w:rsidRDefault="00AD2747" w:rsidP="00AD2747">
      <w:pPr>
        <w:spacing w:after="0" w:line="240" w:lineRule="auto"/>
        <w:rPr>
          <w:rFonts w:ascii="Verdana" w:eastAsia="Times New Roman" w:hAnsi="Verdana" w:cs="Times New Roman"/>
        </w:rPr>
      </w:pPr>
      <w:proofErr w:type="spellStart"/>
      <w:r w:rsidRPr="00AD2747">
        <w:rPr>
          <w:rFonts w:ascii="Verdana" w:eastAsia="Times New Roman" w:hAnsi="Verdana" w:cs="Times New Roman"/>
          <w:b/>
          <w:bCs/>
        </w:rPr>
        <w:t>Mayank</w:t>
      </w:r>
      <w:proofErr w:type="spellEnd"/>
      <w:r w:rsidRPr="00AD2747">
        <w:rPr>
          <w:rFonts w:ascii="Verdana" w:eastAsia="Times New Roman" w:hAnsi="Verdana" w:cs="Times New Roman"/>
          <w:b/>
          <w:bCs/>
        </w:rPr>
        <w:t xml:space="preserve"> </w:t>
      </w:r>
      <w:proofErr w:type="spellStart"/>
      <w:r w:rsidRPr="00AD2747">
        <w:rPr>
          <w:rFonts w:ascii="Verdana" w:eastAsia="Times New Roman" w:hAnsi="Verdana" w:cs="Times New Roman"/>
          <w:b/>
          <w:bCs/>
        </w:rPr>
        <w:t>Arora</w:t>
      </w:r>
      <w:proofErr w:type="spellEnd"/>
      <w:r w:rsidRPr="00AD2747">
        <w:rPr>
          <w:rFonts w:ascii="Verdana" w:eastAsia="Times New Roman" w:hAnsi="Verdana" w:cs="Times New Roman"/>
          <w:b/>
          <w:bCs/>
        </w:rPr>
        <w:t xml:space="preserve"> &amp; Co.</w:t>
      </w:r>
    </w:p>
    <w:p w14:paraId="16D42470" w14:textId="77777777" w:rsidR="00AD2747" w:rsidRPr="00AD2747" w:rsidRDefault="00AD2747" w:rsidP="00AD2747">
      <w:pPr>
        <w:spacing w:after="0" w:line="240" w:lineRule="auto"/>
        <w:rPr>
          <w:rFonts w:ascii="Verdana" w:eastAsia="Times New Roman" w:hAnsi="Verdana" w:cs="Times New Roman"/>
        </w:rPr>
      </w:pPr>
      <w:r w:rsidRPr="00AD2747">
        <w:rPr>
          <w:rFonts w:ascii="Verdana" w:eastAsia="Times New Roman" w:hAnsi="Verdana" w:cs="Times New Roman"/>
          <w:b/>
          <w:bCs/>
        </w:rPr>
        <w:t>Company Secretaries</w:t>
      </w:r>
    </w:p>
    <w:p w14:paraId="6386A152" w14:textId="77777777" w:rsidR="00AD2747" w:rsidRPr="00AD2747" w:rsidRDefault="00AD2747" w:rsidP="00AD2747">
      <w:pPr>
        <w:spacing w:after="0" w:line="240" w:lineRule="auto"/>
        <w:rPr>
          <w:rFonts w:ascii="Verdana" w:eastAsia="Times New Roman" w:hAnsi="Verdana" w:cs="Times New Roman"/>
        </w:rPr>
      </w:pPr>
      <w:r w:rsidRPr="00AD2747">
        <w:rPr>
          <w:rFonts w:ascii="Verdana" w:eastAsia="Times New Roman" w:hAnsi="Verdana" w:cs="Arial"/>
          <w:bCs/>
        </w:rPr>
        <w:t>Add: Office no. 268, 2nd Floor,</w:t>
      </w:r>
    </w:p>
    <w:p w14:paraId="3EE7AF50" w14:textId="77777777" w:rsidR="00AD2747" w:rsidRPr="00AD2747" w:rsidRDefault="00AD2747" w:rsidP="00AD2747">
      <w:pPr>
        <w:spacing w:after="0" w:line="240" w:lineRule="auto"/>
        <w:rPr>
          <w:rFonts w:ascii="Verdana" w:eastAsia="Times New Roman" w:hAnsi="Verdana" w:cs="Times New Roman"/>
        </w:rPr>
      </w:pPr>
      <w:proofErr w:type="spellStart"/>
      <w:r w:rsidRPr="00AD2747">
        <w:rPr>
          <w:rFonts w:ascii="Verdana" w:eastAsia="Times New Roman" w:hAnsi="Verdana" w:cs="Arial"/>
          <w:bCs/>
        </w:rPr>
        <w:t>Udyog</w:t>
      </w:r>
      <w:proofErr w:type="spellEnd"/>
      <w:r w:rsidRPr="00AD2747">
        <w:rPr>
          <w:rFonts w:ascii="Verdana" w:eastAsia="Times New Roman" w:hAnsi="Verdana" w:cs="Arial"/>
          <w:bCs/>
        </w:rPr>
        <w:t xml:space="preserve"> </w:t>
      </w:r>
      <w:proofErr w:type="spellStart"/>
      <w:r w:rsidRPr="00AD2747">
        <w:rPr>
          <w:rFonts w:ascii="Verdana" w:eastAsia="Times New Roman" w:hAnsi="Verdana" w:cs="Arial"/>
          <w:bCs/>
        </w:rPr>
        <w:t>Bhavan</w:t>
      </w:r>
      <w:proofErr w:type="spellEnd"/>
      <w:r w:rsidRPr="00AD2747">
        <w:rPr>
          <w:rFonts w:ascii="Verdana" w:eastAsia="Times New Roman" w:hAnsi="Verdana" w:cs="Arial"/>
          <w:bCs/>
        </w:rPr>
        <w:t xml:space="preserve">, </w:t>
      </w:r>
      <w:proofErr w:type="spellStart"/>
      <w:r w:rsidRPr="00AD2747">
        <w:rPr>
          <w:rFonts w:ascii="Verdana" w:eastAsia="Times New Roman" w:hAnsi="Verdana" w:cs="Arial"/>
          <w:bCs/>
        </w:rPr>
        <w:t>Sonawala</w:t>
      </w:r>
      <w:proofErr w:type="spellEnd"/>
      <w:r w:rsidRPr="00AD2747">
        <w:rPr>
          <w:rFonts w:ascii="Verdana" w:eastAsia="Times New Roman" w:hAnsi="Verdana" w:cs="Arial"/>
          <w:bCs/>
        </w:rPr>
        <w:t xml:space="preserve"> Road,</w:t>
      </w:r>
    </w:p>
    <w:p w14:paraId="593D78D0" w14:textId="77777777" w:rsidR="00AD2747" w:rsidRPr="00AD2747" w:rsidRDefault="00AD2747" w:rsidP="00AD2747">
      <w:pPr>
        <w:spacing w:after="0" w:line="240" w:lineRule="auto"/>
        <w:rPr>
          <w:rFonts w:ascii="Verdana" w:eastAsia="Times New Roman" w:hAnsi="Verdana" w:cs="Times New Roman"/>
        </w:rPr>
      </w:pPr>
      <w:proofErr w:type="spellStart"/>
      <w:proofErr w:type="gramStart"/>
      <w:r w:rsidRPr="00AD2747">
        <w:rPr>
          <w:rFonts w:ascii="Verdana" w:eastAsia="Times New Roman" w:hAnsi="Verdana" w:cs="Arial"/>
          <w:bCs/>
        </w:rPr>
        <w:t>Goregaon</w:t>
      </w:r>
      <w:proofErr w:type="spellEnd"/>
      <w:r w:rsidRPr="00AD2747">
        <w:rPr>
          <w:rFonts w:ascii="Verdana" w:eastAsia="Times New Roman" w:hAnsi="Verdana" w:cs="Arial"/>
          <w:bCs/>
        </w:rPr>
        <w:t xml:space="preserve"> (East), Mumbai - 400 063.</w:t>
      </w:r>
      <w:proofErr w:type="gramEnd"/>
    </w:p>
    <w:p w14:paraId="26509ADB" w14:textId="77777777" w:rsidR="00AD2747" w:rsidRPr="00AD2747" w:rsidRDefault="00AD2747" w:rsidP="00AD2747">
      <w:pPr>
        <w:spacing w:after="0" w:line="240" w:lineRule="auto"/>
        <w:rPr>
          <w:rFonts w:ascii="Verdana" w:eastAsia="Times New Roman" w:hAnsi="Verdana" w:cs="Times New Roman"/>
        </w:rPr>
      </w:pPr>
    </w:p>
    <w:p w14:paraId="7D518E7C" w14:textId="77777777" w:rsidR="00AD2747" w:rsidRPr="00AD2747" w:rsidRDefault="00AD2747" w:rsidP="00AD2747">
      <w:pPr>
        <w:spacing w:after="0" w:line="240" w:lineRule="auto"/>
        <w:rPr>
          <w:rFonts w:ascii="Verdana" w:eastAsia="Times New Roman" w:hAnsi="Verdana" w:cs="Times New Roman"/>
        </w:rPr>
      </w:pPr>
      <w:r w:rsidRPr="00AD2747">
        <w:rPr>
          <w:rFonts w:ascii="Verdana" w:eastAsia="Times New Roman" w:hAnsi="Verdana" w:cs="Times New Roman"/>
          <w:b/>
          <w:bCs/>
        </w:rPr>
        <w:t>M: +91-9324254455</w:t>
      </w:r>
    </w:p>
    <w:p w14:paraId="3CD41D77" w14:textId="77777777" w:rsidR="00AD2747" w:rsidRPr="00AD2747" w:rsidRDefault="00AD2747" w:rsidP="00AD2747">
      <w:pPr>
        <w:spacing w:after="0" w:line="240" w:lineRule="auto"/>
        <w:rPr>
          <w:rFonts w:ascii="Verdana" w:eastAsia="Times New Roman" w:hAnsi="Verdana" w:cs="Times New Roman"/>
        </w:rPr>
      </w:pPr>
      <w:r w:rsidRPr="00AD2747">
        <w:rPr>
          <w:rFonts w:ascii="Verdana" w:eastAsia="Times New Roman" w:hAnsi="Verdana" w:cs="Times New Roman"/>
          <w:b/>
          <w:bCs/>
        </w:rPr>
        <w:t>L: 022-49735566</w:t>
      </w:r>
    </w:p>
    <w:p w14:paraId="307B1FCB" w14:textId="77777777" w:rsidR="00AD2747" w:rsidRPr="00AD2747" w:rsidRDefault="00AD2747" w:rsidP="00AD2747">
      <w:pPr>
        <w:spacing w:after="0" w:line="240" w:lineRule="auto"/>
        <w:rPr>
          <w:rFonts w:ascii="Verdana" w:eastAsia="Times New Roman" w:hAnsi="Verdana" w:cs="Times New Roman"/>
        </w:rPr>
      </w:pPr>
      <w:r w:rsidRPr="00AD2747">
        <w:rPr>
          <w:rFonts w:ascii="Verdana" w:eastAsia="Times New Roman" w:hAnsi="Verdana" w:cs="Times New Roman"/>
          <w:b/>
          <w:bCs/>
        </w:rPr>
        <w:t xml:space="preserve">Website: </w:t>
      </w:r>
      <w:hyperlink r:id="rId11" w:tgtFrame="_blank" w:history="1">
        <w:r w:rsidRPr="00AD2747">
          <w:rPr>
            <w:rFonts w:ascii="Verdana" w:eastAsia="Times New Roman" w:hAnsi="Verdana" w:cs="Times New Roman"/>
            <w:b/>
            <w:bCs/>
            <w:color w:val="0000FF"/>
            <w:u w:val="single"/>
          </w:rPr>
          <w:t>www.mayankarora.co.in</w:t>
        </w:r>
      </w:hyperlink>
    </w:p>
    <w:p w14:paraId="7E7F861C" w14:textId="77777777" w:rsidR="00AD2747" w:rsidRPr="00AD2747" w:rsidRDefault="00AD2747" w:rsidP="00AD2747">
      <w:pPr>
        <w:shd w:val="clear" w:color="auto" w:fill="FFFFFF"/>
        <w:spacing w:before="100" w:beforeAutospacing="1" w:after="100" w:afterAutospacing="1" w:line="240" w:lineRule="auto"/>
        <w:ind w:left="720" w:hanging="810"/>
        <w:rPr>
          <w:rFonts w:ascii="Verdana" w:eastAsia="Times New Roman" w:hAnsi="Verdana" w:cs="Times New Roman"/>
          <w:color w:val="111111"/>
        </w:rPr>
      </w:pPr>
      <w:r w:rsidRPr="00AD2747">
        <w:rPr>
          <w:rFonts w:ascii="Verdana" w:hAnsi="Verdana"/>
          <w:noProof/>
        </w:rPr>
        <w:drawing>
          <wp:inline distT="0" distB="0" distL="0" distR="0" wp14:anchorId="6EA3E254" wp14:editId="202E9FC9">
            <wp:extent cx="2378621" cy="323850"/>
            <wp:effectExtent l="0" t="0" r="3175" b="0"/>
            <wp:docPr id="2" name="Picture 2" descr="http://mayankarora.co.in/templa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yankarora.co.in/templat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8621" cy="323850"/>
                    </a:xfrm>
                    <a:prstGeom prst="rect">
                      <a:avLst/>
                    </a:prstGeom>
                    <a:noFill/>
                    <a:ln>
                      <a:noFill/>
                    </a:ln>
                  </pic:spPr>
                </pic:pic>
              </a:graphicData>
            </a:graphic>
          </wp:inline>
        </w:drawing>
      </w:r>
    </w:p>
    <w:p w14:paraId="7B60A7F1" w14:textId="28CB7C63" w:rsidR="00AD2747" w:rsidRPr="00480311" w:rsidRDefault="00AD2747" w:rsidP="00480311">
      <w:pPr>
        <w:shd w:val="clear" w:color="auto" w:fill="FFFFFF"/>
        <w:spacing w:before="100" w:beforeAutospacing="1" w:after="100" w:afterAutospacing="1" w:line="240" w:lineRule="auto"/>
        <w:ind w:left="720" w:hanging="810"/>
        <w:rPr>
          <w:rFonts w:ascii="Verdana" w:eastAsia="Times New Roman" w:hAnsi="Verdana" w:cs="Times New Roman"/>
          <w:color w:val="111111"/>
        </w:rPr>
      </w:pPr>
      <w:r w:rsidRPr="00AD2747">
        <w:rPr>
          <w:rFonts w:ascii="Verdana" w:eastAsia="Times New Roman" w:hAnsi="Verdana" w:cs="Times New Roman"/>
          <w:color w:val="111111"/>
        </w:rPr>
        <w:t xml:space="preserve">  Date: 5</w:t>
      </w:r>
      <w:r w:rsidRPr="00AD2747">
        <w:rPr>
          <w:rFonts w:ascii="Verdana" w:eastAsia="Times New Roman" w:hAnsi="Verdana" w:cs="Times New Roman"/>
          <w:color w:val="111111"/>
          <w:vertAlign w:val="superscript"/>
        </w:rPr>
        <w:t>th</w:t>
      </w:r>
      <w:r w:rsidRPr="00AD2747">
        <w:rPr>
          <w:rFonts w:ascii="Verdana" w:eastAsia="Times New Roman" w:hAnsi="Verdana" w:cs="Times New Roman"/>
          <w:color w:val="111111"/>
        </w:rPr>
        <w:t xml:space="preserve"> April, 2020</w:t>
      </w:r>
      <w:bookmarkStart w:id="0" w:name="_GoBack"/>
      <w:bookmarkEnd w:id="0"/>
    </w:p>
    <w:sectPr w:rsidR="00AD2747" w:rsidRPr="00480311" w:rsidSect="00AD2747">
      <w:headerReference w:type="even" r:id="rId13"/>
      <w:headerReference w:type="default" r:id="rId14"/>
      <w:footerReference w:type="even" r:id="rId15"/>
      <w:footerReference w:type="default" r:id="rId16"/>
      <w:headerReference w:type="first" r:id="rId17"/>
      <w:footerReference w:type="first" r:id="rId1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E2CE5" w14:textId="77777777" w:rsidR="00403F5F" w:rsidRDefault="00403F5F" w:rsidP="00480311">
      <w:pPr>
        <w:spacing w:after="0" w:line="240" w:lineRule="auto"/>
      </w:pPr>
      <w:r>
        <w:separator/>
      </w:r>
    </w:p>
  </w:endnote>
  <w:endnote w:type="continuationSeparator" w:id="0">
    <w:p w14:paraId="242C0F65" w14:textId="77777777" w:rsidR="00403F5F" w:rsidRDefault="00403F5F" w:rsidP="0048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82C3" w14:textId="77777777" w:rsidR="00480311" w:rsidRDefault="00480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F6FF" w14:textId="77777777" w:rsidR="00480311" w:rsidRDefault="00480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0917" w14:textId="77777777" w:rsidR="00480311" w:rsidRDefault="00480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87465" w14:textId="77777777" w:rsidR="00403F5F" w:rsidRDefault="00403F5F" w:rsidP="00480311">
      <w:pPr>
        <w:spacing w:after="0" w:line="240" w:lineRule="auto"/>
      </w:pPr>
      <w:r>
        <w:separator/>
      </w:r>
    </w:p>
  </w:footnote>
  <w:footnote w:type="continuationSeparator" w:id="0">
    <w:p w14:paraId="369FF556" w14:textId="77777777" w:rsidR="00403F5F" w:rsidRDefault="00403F5F" w:rsidP="00480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C2D58" w14:textId="1E46A580" w:rsidR="00480311" w:rsidRDefault="00480311">
    <w:pPr>
      <w:pStyle w:val="Header"/>
    </w:pPr>
    <w:r>
      <w:rPr>
        <w:noProof/>
      </w:rPr>
      <w:pict w14:anchorId="4FB2E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4922"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Mayank Arora and C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A4E7" w14:textId="330A2F75" w:rsidR="00480311" w:rsidRDefault="00480311">
    <w:pPr>
      <w:pStyle w:val="Header"/>
    </w:pPr>
    <w:r>
      <w:rPr>
        <w:noProof/>
      </w:rPr>
      <w:pict w14:anchorId="047C6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4923" o:spid="_x0000_s2051" type="#_x0000_t136" style="position:absolute;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Mayank Arora and C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01854" w14:textId="037C05AF" w:rsidR="00480311" w:rsidRDefault="00480311">
    <w:pPr>
      <w:pStyle w:val="Header"/>
    </w:pPr>
    <w:r>
      <w:rPr>
        <w:noProof/>
      </w:rPr>
      <w:pict w14:anchorId="361FF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4921"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Mayank Arora and C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6C4"/>
    <w:multiLevelType w:val="hybridMultilevel"/>
    <w:tmpl w:val="E4448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265EF"/>
    <w:multiLevelType w:val="hybridMultilevel"/>
    <w:tmpl w:val="9B08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56B5B"/>
    <w:multiLevelType w:val="hybridMultilevel"/>
    <w:tmpl w:val="B87024D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5C03A1"/>
    <w:multiLevelType w:val="hybridMultilevel"/>
    <w:tmpl w:val="B92C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2A"/>
    <w:rsid w:val="000F4443"/>
    <w:rsid w:val="00161DE7"/>
    <w:rsid w:val="001C6E3A"/>
    <w:rsid w:val="00230322"/>
    <w:rsid w:val="0028336E"/>
    <w:rsid w:val="002F082A"/>
    <w:rsid w:val="00303CF7"/>
    <w:rsid w:val="00403F5F"/>
    <w:rsid w:val="00480311"/>
    <w:rsid w:val="0050551E"/>
    <w:rsid w:val="00527E70"/>
    <w:rsid w:val="00533C8B"/>
    <w:rsid w:val="005A13A9"/>
    <w:rsid w:val="006518C4"/>
    <w:rsid w:val="00757B93"/>
    <w:rsid w:val="007743CE"/>
    <w:rsid w:val="007C2AE3"/>
    <w:rsid w:val="00902A9B"/>
    <w:rsid w:val="00A46E1C"/>
    <w:rsid w:val="00AD2747"/>
    <w:rsid w:val="00B90663"/>
    <w:rsid w:val="00C44AC1"/>
    <w:rsid w:val="00CA12AB"/>
    <w:rsid w:val="00D35B2E"/>
    <w:rsid w:val="00E66441"/>
    <w:rsid w:val="00E83DC5"/>
    <w:rsid w:val="00E979C7"/>
    <w:rsid w:val="00F0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D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518C4"/>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18C4"/>
    <w:pPr>
      <w:widowControl w:val="0"/>
      <w:spacing w:after="0" w:line="240" w:lineRule="auto"/>
    </w:pPr>
  </w:style>
  <w:style w:type="table" w:styleId="TableGrid">
    <w:name w:val="Table Grid"/>
    <w:basedOn w:val="TableNormal"/>
    <w:uiPriority w:val="39"/>
    <w:rsid w:val="00651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43CE"/>
    <w:rPr>
      <w:color w:val="0000FF"/>
      <w:u w:val="single"/>
    </w:rPr>
  </w:style>
  <w:style w:type="paragraph" w:styleId="ListParagraph">
    <w:name w:val="List Paragraph"/>
    <w:basedOn w:val="Normal"/>
    <w:uiPriority w:val="34"/>
    <w:qFormat/>
    <w:rsid w:val="00161DE7"/>
    <w:pPr>
      <w:ind w:left="720"/>
      <w:contextualSpacing/>
    </w:pPr>
  </w:style>
  <w:style w:type="paragraph" w:styleId="BalloonText">
    <w:name w:val="Balloon Text"/>
    <w:basedOn w:val="Normal"/>
    <w:link w:val="BalloonTextChar"/>
    <w:uiPriority w:val="99"/>
    <w:semiHidden/>
    <w:unhideWhenUsed/>
    <w:rsid w:val="00AD2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747"/>
    <w:rPr>
      <w:rFonts w:ascii="Tahoma" w:hAnsi="Tahoma" w:cs="Tahoma"/>
      <w:sz w:val="16"/>
      <w:szCs w:val="16"/>
    </w:rPr>
  </w:style>
  <w:style w:type="character" w:styleId="FollowedHyperlink">
    <w:name w:val="FollowedHyperlink"/>
    <w:basedOn w:val="DefaultParagraphFont"/>
    <w:uiPriority w:val="99"/>
    <w:semiHidden/>
    <w:unhideWhenUsed/>
    <w:rsid w:val="00757B93"/>
    <w:rPr>
      <w:color w:val="954F72" w:themeColor="followedHyperlink"/>
      <w:u w:val="single"/>
    </w:rPr>
  </w:style>
  <w:style w:type="paragraph" w:styleId="Header">
    <w:name w:val="header"/>
    <w:basedOn w:val="Normal"/>
    <w:link w:val="HeaderChar"/>
    <w:uiPriority w:val="99"/>
    <w:unhideWhenUsed/>
    <w:rsid w:val="0048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11"/>
  </w:style>
  <w:style w:type="paragraph" w:styleId="Footer">
    <w:name w:val="footer"/>
    <w:basedOn w:val="Normal"/>
    <w:link w:val="FooterChar"/>
    <w:uiPriority w:val="99"/>
    <w:unhideWhenUsed/>
    <w:rsid w:val="0048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518C4"/>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18C4"/>
    <w:pPr>
      <w:widowControl w:val="0"/>
      <w:spacing w:after="0" w:line="240" w:lineRule="auto"/>
    </w:pPr>
  </w:style>
  <w:style w:type="table" w:styleId="TableGrid">
    <w:name w:val="Table Grid"/>
    <w:basedOn w:val="TableNormal"/>
    <w:uiPriority w:val="39"/>
    <w:rsid w:val="00651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43CE"/>
    <w:rPr>
      <w:color w:val="0000FF"/>
      <w:u w:val="single"/>
    </w:rPr>
  </w:style>
  <w:style w:type="paragraph" w:styleId="ListParagraph">
    <w:name w:val="List Paragraph"/>
    <w:basedOn w:val="Normal"/>
    <w:uiPriority w:val="34"/>
    <w:qFormat/>
    <w:rsid w:val="00161DE7"/>
    <w:pPr>
      <w:ind w:left="720"/>
      <w:contextualSpacing/>
    </w:pPr>
  </w:style>
  <w:style w:type="paragraph" w:styleId="BalloonText">
    <w:name w:val="Balloon Text"/>
    <w:basedOn w:val="Normal"/>
    <w:link w:val="BalloonTextChar"/>
    <w:uiPriority w:val="99"/>
    <w:semiHidden/>
    <w:unhideWhenUsed/>
    <w:rsid w:val="00AD2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747"/>
    <w:rPr>
      <w:rFonts w:ascii="Tahoma" w:hAnsi="Tahoma" w:cs="Tahoma"/>
      <w:sz w:val="16"/>
      <w:szCs w:val="16"/>
    </w:rPr>
  </w:style>
  <w:style w:type="character" w:styleId="FollowedHyperlink">
    <w:name w:val="FollowedHyperlink"/>
    <w:basedOn w:val="DefaultParagraphFont"/>
    <w:uiPriority w:val="99"/>
    <w:semiHidden/>
    <w:unhideWhenUsed/>
    <w:rsid w:val="00757B93"/>
    <w:rPr>
      <w:color w:val="954F72" w:themeColor="followedHyperlink"/>
      <w:u w:val="single"/>
    </w:rPr>
  </w:style>
  <w:style w:type="paragraph" w:styleId="Header">
    <w:name w:val="header"/>
    <w:basedOn w:val="Normal"/>
    <w:link w:val="HeaderChar"/>
    <w:uiPriority w:val="99"/>
    <w:unhideWhenUsed/>
    <w:rsid w:val="0048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11"/>
  </w:style>
  <w:style w:type="paragraph" w:styleId="Footer">
    <w:name w:val="footer"/>
    <w:basedOn w:val="Normal"/>
    <w:link w:val="FooterChar"/>
    <w:uiPriority w:val="99"/>
    <w:unhideWhenUsed/>
    <w:rsid w:val="0048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eindia.com/downloads/whtsnew/file/Cir-64.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yankarora.co.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seindia.com/downloads/whtsnew/file/CIR7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seindia.com/downloads/whtsnew/file/CIR69.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BOSE</dc:creator>
  <cp:keywords/>
  <dc:description/>
  <cp:lastModifiedBy>Mayank</cp:lastModifiedBy>
  <cp:revision>14</cp:revision>
  <dcterms:created xsi:type="dcterms:W3CDTF">2020-04-04T13:28:00Z</dcterms:created>
  <dcterms:modified xsi:type="dcterms:W3CDTF">2020-04-06T01:33:00Z</dcterms:modified>
</cp:coreProperties>
</file>